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31BE8" w:rsidTr="00631BE8">
        <w:trPr>
          <w:jc w:val="center"/>
        </w:trPr>
        <w:tc>
          <w:tcPr>
            <w:tcW w:w="743" w:type="dxa"/>
            <w:hideMark/>
          </w:tcPr>
          <w:p w:rsidR="00631BE8" w:rsidRDefault="00631BE8">
            <w:pPr>
              <w:suppressLineNumbers/>
              <w:jc w:val="both"/>
              <w:rPr>
                <w:rFonts w:ascii="Arial" w:hAnsi="Arial"/>
                <w:b/>
                <w:bCs/>
                <w:sz w:val="26"/>
                <w:szCs w:val="26"/>
              </w:rPr>
            </w:pPr>
            <w:bookmarkStart w:id="0" w:name="_GoBack"/>
            <w:bookmarkEnd w:id="0"/>
            <w:r>
              <w:rPr>
                <w:rFonts w:ascii="Arial" w:hAnsi="Arial"/>
                <w:b/>
                <w:bCs/>
                <w:sz w:val="26"/>
                <w:szCs w:val="26"/>
                <w:rtl/>
              </w:rPr>
              <w:t>בפני</w:t>
            </w:r>
          </w:p>
        </w:tc>
        <w:tc>
          <w:tcPr>
            <w:tcW w:w="8077" w:type="dxa"/>
            <w:gridSpan w:val="2"/>
          </w:tcPr>
          <w:p w:rsidR="00631BE8" w:rsidRDefault="00631BE8">
            <w:pPr>
              <w:suppressLineNumbers/>
              <w:rPr>
                <w:rFonts w:ascii="Arial" w:hAnsi="Arial"/>
                <w:b/>
                <w:bCs/>
                <w:sz w:val="26"/>
                <w:szCs w:val="26"/>
              </w:rPr>
            </w:pPr>
            <w:r>
              <w:rPr>
                <w:rFonts w:ascii="Arial" w:hAnsi="Arial"/>
                <w:b/>
                <w:bCs/>
                <w:sz w:val="26"/>
                <w:szCs w:val="26"/>
                <w:rtl/>
              </w:rPr>
              <w:t>כבוד ה</w:t>
            </w:r>
            <w:sdt>
              <w:sdtPr>
                <w:rPr>
                  <w:sz w:val="26"/>
                  <w:szCs w:val="26"/>
                  <w:rtl/>
                </w:rPr>
                <w:alias w:val="1574"/>
                <w:tag w:val="1574"/>
                <w:id w:val="1907721280"/>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sz w:val="26"/>
                  <w:szCs w:val="26"/>
                  <w:rtl/>
                </w:rPr>
                <w:alias w:val="1573"/>
                <w:tag w:val="1573"/>
                <w:id w:val="-83612300"/>
                <w:text w:multiLine="1"/>
              </w:sdtPr>
              <w:sdtEndPr/>
              <w:sdtContent>
                <w:r>
                  <w:rPr>
                    <w:rFonts w:ascii="Arial" w:hAnsi="Arial"/>
                    <w:b/>
                    <w:bCs/>
                    <w:sz w:val="26"/>
                    <w:szCs w:val="26"/>
                    <w:rtl/>
                  </w:rPr>
                  <w:t>אריה נאמן</w:t>
                </w:r>
              </w:sdtContent>
            </w:sdt>
          </w:p>
          <w:p w:rsidR="00631BE8" w:rsidRDefault="00631BE8">
            <w:pPr>
              <w:suppressLineNumbers/>
              <w:rPr>
                <w:rFonts w:ascii="Arial" w:hAnsi="Arial" w:cs="FrankRuehl"/>
                <w:sz w:val="26"/>
                <w:szCs w:val="26"/>
                <w:highlight w:val="yellow"/>
                <w:rtl/>
              </w:rPr>
            </w:pPr>
          </w:p>
        </w:tc>
      </w:tr>
      <w:tr w:rsidR="00631BE8" w:rsidTr="00631BE8">
        <w:trPr>
          <w:jc w:val="center"/>
        </w:trPr>
        <w:tc>
          <w:tcPr>
            <w:tcW w:w="3249" w:type="dxa"/>
            <w:gridSpan w:val="2"/>
          </w:tcPr>
          <w:p w:rsidR="00631BE8" w:rsidRDefault="00631BE8">
            <w:pPr>
              <w:suppressLineNumbers/>
              <w:rPr>
                <w:rFonts w:ascii="Arial" w:hAnsi="Arial"/>
                <w:b/>
                <w:bCs/>
                <w:sz w:val="26"/>
                <w:szCs w:val="26"/>
                <w:rtl/>
              </w:rPr>
            </w:pPr>
          </w:p>
          <w:sdt>
            <w:sdtPr>
              <w:rPr>
                <w:rtl/>
              </w:rPr>
              <w:alias w:val="1180"/>
              <w:tag w:val="1180"/>
              <w:id w:val="637458750"/>
              <w:text w:multiLine="1"/>
            </w:sdtPr>
            <w:sdtEndPr/>
            <w:sdtContent>
              <w:p w:rsidR="00631BE8" w:rsidRDefault="00631BE8">
                <w:pPr>
                  <w:suppressLineNumbers/>
                  <w:rPr>
                    <w:rFonts w:ascii="Arial" w:hAnsi="Arial"/>
                    <w:b/>
                    <w:bCs/>
                    <w:sz w:val="26"/>
                    <w:szCs w:val="26"/>
                  </w:rPr>
                </w:pPr>
                <w:r>
                  <w:rPr>
                    <w:rFonts w:ascii="Arial" w:hAnsi="Arial"/>
                    <w:b/>
                    <w:bCs/>
                    <w:sz w:val="26"/>
                    <w:szCs w:val="26"/>
                    <w:rtl/>
                  </w:rPr>
                  <w:t>המבקשת:</w:t>
                </w:r>
              </w:p>
            </w:sdtContent>
          </w:sdt>
        </w:tc>
        <w:tc>
          <w:tcPr>
            <w:tcW w:w="5571" w:type="dxa"/>
          </w:tcPr>
          <w:p w:rsidR="00631BE8" w:rsidRDefault="00631BE8">
            <w:pPr>
              <w:suppressLineNumbers/>
              <w:rPr>
                <w:rFonts w:ascii="Arial" w:hAnsi="Arial"/>
                <w:b/>
                <w:bCs/>
                <w:sz w:val="26"/>
                <w:szCs w:val="26"/>
              </w:rPr>
            </w:pPr>
          </w:p>
          <w:p w:rsidR="00631BE8" w:rsidRDefault="003979FE">
            <w:pPr>
              <w:suppressLineNumbers/>
              <w:rPr>
                <w:rtl/>
              </w:rPr>
            </w:pPr>
            <w:sdt>
              <w:sdtPr>
                <w:rPr>
                  <w:rFonts w:ascii="Arial" w:hAnsi="Arial"/>
                  <w:b/>
                  <w:bCs/>
                  <w:sz w:val="26"/>
                  <w:szCs w:val="26"/>
                  <w:rtl/>
                </w:rPr>
                <w:alias w:val="3151"/>
                <w:tag w:val="3151"/>
                <w:id w:val="1398553265"/>
                <w:placeholder>
                  <w:docPart w:val="5930C41ECC2B479B8F6E6A319EB8F6DB"/>
                </w:placeholder>
                <w:text w:multiLine="1"/>
              </w:sdtPr>
              <w:sdtEndPr/>
              <w:sdtContent>
                <w:r w:rsidR="00631BE8">
                  <w:rPr>
                    <w:rFonts w:ascii="Arial" w:hAnsi="Arial" w:hint="cs"/>
                    <w:b/>
                    <w:bCs/>
                    <w:sz w:val="26"/>
                    <w:szCs w:val="26"/>
                    <w:rtl/>
                  </w:rPr>
                  <w:t>נ.ד</w:t>
                </w:r>
                <w:r w:rsidR="00631BE8">
                  <w:rPr>
                    <w:rFonts w:ascii="Arial" w:hAnsi="Arial"/>
                    <w:b/>
                    <w:bCs/>
                    <w:sz w:val="26"/>
                    <w:szCs w:val="26"/>
                    <w:rtl/>
                  </w:rPr>
                  <w:t xml:space="preserve"> </w:t>
                </w:r>
              </w:sdtContent>
            </w:sdt>
            <w:r w:rsidR="00631BE8">
              <w:rPr>
                <w:rtl/>
              </w:rPr>
              <w:t xml:space="preserve"> </w:t>
            </w:r>
          </w:p>
          <w:p w:rsidR="00631BE8" w:rsidRDefault="00631BE8" w:rsidP="00631BE8">
            <w:pPr>
              <w:suppressLineNumbers/>
              <w:rPr>
                <w:b/>
                <w:bCs/>
                <w:sz w:val="26"/>
                <w:szCs w:val="26"/>
                <w:rtl/>
              </w:rPr>
            </w:pPr>
            <w:r>
              <w:rPr>
                <w:rFonts w:ascii="Arial" w:hAnsi="Arial"/>
                <w:b/>
                <w:bCs/>
                <w:sz w:val="26"/>
                <w:szCs w:val="26"/>
                <w:rtl/>
              </w:rPr>
              <w:t>ע"י ב"כ עוה"ד</w:t>
            </w:r>
            <w:r>
              <w:rPr>
                <w:b/>
                <w:bCs/>
                <w:sz w:val="26"/>
                <w:szCs w:val="26"/>
                <w:rtl/>
              </w:rPr>
              <w:t xml:space="preserve"> </w:t>
            </w:r>
            <w:r>
              <w:rPr>
                <w:rFonts w:hint="cs"/>
                <w:b/>
                <w:bCs/>
                <w:sz w:val="26"/>
                <w:szCs w:val="26"/>
                <w:rtl/>
              </w:rPr>
              <w:t>נעם אפשטיין</w:t>
            </w:r>
          </w:p>
        </w:tc>
      </w:tr>
      <w:tr w:rsidR="00631BE8" w:rsidTr="00631BE8">
        <w:trPr>
          <w:jc w:val="center"/>
        </w:trPr>
        <w:tc>
          <w:tcPr>
            <w:tcW w:w="8820" w:type="dxa"/>
            <w:gridSpan w:val="3"/>
          </w:tcPr>
          <w:p w:rsidR="00631BE8" w:rsidRDefault="00631BE8">
            <w:pPr>
              <w:suppressLineNumbers/>
              <w:rPr>
                <w:rFonts w:ascii="Arial" w:hAnsi="Arial"/>
                <w:b/>
                <w:bCs/>
                <w:sz w:val="26"/>
                <w:szCs w:val="26"/>
                <w:rtl/>
              </w:rPr>
            </w:pPr>
          </w:p>
          <w:p w:rsidR="00631BE8" w:rsidRDefault="00631BE8">
            <w:pPr>
              <w:suppressLineNumbers/>
              <w:jc w:val="center"/>
              <w:rPr>
                <w:rFonts w:ascii="Arial" w:hAnsi="Arial"/>
                <w:b/>
                <w:bCs/>
                <w:sz w:val="26"/>
                <w:szCs w:val="26"/>
              </w:rPr>
            </w:pPr>
            <w:r>
              <w:rPr>
                <w:rFonts w:ascii="Arial" w:hAnsi="Arial"/>
                <w:b/>
                <w:bCs/>
                <w:sz w:val="26"/>
                <w:szCs w:val="26"/>
                <w:rtl/>
              </w:rPr>
              <w:t>נגד</w:t>
            </w:r>
          </w:p>
          <w:p w:rsidR="00631BE8" w:rsidRDefault="00631BE8">
            <w:pPr>
              <w:suppressLineNumbers/>
              <w:rPr>
                <w:rFonts w:ascii="Arial" w:hAnsi="Arial"/>
                <w:b/>
                <w:bCs/>
                <w:sz w:val="26"/>
                <w:szCs w:val="26"/>
                <w:rtl/>
              </w:rPr>
            </w:pPr>
          </w:p>
        </w:tc>
      </w:tr>
      <w:tr w:rsidR="00631BE8" w:rsidTr="00631BE8">
        <w:trPr>
          <w:jc w:val="center"/>
        </w:trPr>
        <w:tc>
          <w:tcPr>
            <w:tcW w:w="3249" w:type="dxa"/>
            <w:gridSpan w:val="2"/>
            <w:hideMark/>
          </w:tcPr>
          <w:p w:rsidR="00631BE8" w:rsidRDefault="003979FE">
            <w:pPr>
              <w:suppressLineNumbers/>
              <w:rPr>
                <w:rFonts w:ascii="Arial" w:hAnsi="Arial"/>
                <w:b/>
                <w:bCs/>
                <w:sz w:val="26"/>
                <w:szCs w:val="26"/>
                <w:rtl/>
              </w:rPr>
            </w:pPr>
            <w:sdt>
              <w:sdtPr>
                <w:rPr>
                  <w:rtl/>
                </w:rPr>
                <w:alias w:val="1184"/>
                <w:tag w:val="1184"/>
                <w:id w:val="-340621022"/>
                <w:text w:multiLine="1"/>
              </w:sdtPr>
              <w:sdtEndPr/>
              <w:sdtContent>
                <w:r w:rsidR="00631BE8">
                  <w:rPr>
                    <w:rFonts w:ascii="Arial" w:hAnsi="Arial"/>
                    <w:b/>
                    <w:bCs/>
                    <w:sz w:val="26"/>
                    <w:szCs w:val="26"/>
                    <w:rtl/>
                  </w:rPr>
                  <w:t>המשיב:</w:t>
                </w:r>
              </w:sdtContent>
            </w:sdt>
          </w:p>
        </w:tc>
        <w:tc>
          <w:tcPr>
            <w:tcW w:w="5571" w:type="dxa"/>
            <w:hideMark/>
          </w:tcPr>
          <w:p w:rsidR="00631BE8" w:rsidRDefault="003979FE">
            <w:pPr>
              <w:suppressLineNumbers/>
              <w:rPr>
                <w:rFonts w:ascii="Arial" w:hAnsi="Arial"/>
                <w:b/>
                <w:bCs/>
                <w:sz w:val="26"/>
                <w:szCs w:val="26"/>
              </w:rPr>
            </w:pPr>
            <w:sdt>
              <w:sdtPr>
                <w:rPr>
                  <w:rFonts w:ascii="Arial" w:hAnsi="Arial" w:hint="cs"/>
                  <w:b/>
                  <w:bCs/>
                  <w:sz w:val="26"/>
                  <w:szCs w:val="26"/>
                  <w:rtl/>
                </w:rPr>
                <w:alias w:val="3152"/>
                <w:tag w:val="3152"/>
                <w:id w:val="1920052440"/>
                <w:placeholder>
                  <w:docPart w:val="65A2F1D1594B4973907110CD634B8108"/>
                </w:placeholder>
                <w:text w:multiLine="1"/>
              </w:sdtPr>
              <w:sdtEndPr/>
              <w:sdtContent>
                <w:r w:rsidR="00631BE8">
                  <w:rPr>
                    <w:rFonts w:ascii="Arial" w:hAnsi="Arial" w:hint="cs"/>
                    <w:b/>
                    <w:bCs/>
                    <w:sz w:val="26"/>
                    <w:szCs w:val="26"/>
                    <w:rtl/>
                  </w:rPr>
                  <w:t xml:space="preserve">מ.ד </w:t>
                </w:r>
              </w:sdtContent>
            </w:sdt>
            <w:r w:rsidR="00631BE8">
              <w:rPr>
                <w:rtl/>
              </w:rPr>
              <w:t xml:space="preserve"> </w:t>
            </w:r>
          </w:p>
          <w:p w:rsidR="00631BE8" w:rsidRDefault="00631BE8" w:rsidP="00631BE8">
            <w:pPr>
              <w:suppressLineNumbers/>
              <w:rPr>
                <w:noProof/>
                <w:rtl/>
              </w:rPr>
            </w:pPr>
            <w:r>
              <w:rPr>
                <w:rFonts w:ascii="Arial" w:hAnsi="Arial"/>
                <w:b/>
                <w:bCs/>
                <w:sz w:val="26"/>
                <w:szCs w:val="26"/>
                <w:rtl/>
              </w:rPr>
              <w:t>ע"י ב"כ עוה"ד</w:t>
            </w:r>
            <w:r>
              <w:rPr>
                <w:noProof/>
                <w:rtl/>
              </w:rPr>
              <w:t xml:space="preserve"> </w:t>
            </w:r>
            <w:r>
              <w:rPr>
                <w:rFonts w:hint="cs"/>
                <w:b/>
                <w:bCs/>
                <w:noProof/>
                <w:rtl/>
              </w:rPr>
              <w:t>אלכס וייג</w:t>
            </w:r>
          </w:p>
        </w:tc>
      </w:tr>
      <w:tr w:rsidR="00631BE8" w:rsidTr="00631BE8">
        <w:trPr>
          <w:jc w:val="center"/>
        </w:trPr>
        <w:tc>
          <w:tcPr>
            <w:tcW w:w="8820" w:type="dxa"/>
            <w:gridSpan w:val="3"/>
          </w:tcPr>
          <w:p w:rsidR="00631BE8" w:rsidRDefault="00631BE8" w:rsidP="00631BE8">
            <w:pPr>
              <w:suppressLineNumbers/>
            </w:pPr>
          </w:p>
        </w:tc>
      </w:tr>
      <w:tr w:rsidR="00694556" w:rsidRPr="00DE1E7D">
        <w:trPr>
          <w:jc w:val="center"/>
        </w:trPr>
        <w:tc>
          <w:tcPr>
            <w:tcW w:w="8820" w:type="dxa"/>
            <w:gridSpan w:val="3"/>
          </w:tcPr>
          <w:p w:rsidR="00694556" w:rsidRDefault="003E38C7" w:rsidP="00706B6C">
            <w:pPr>
              <w:bidi w:val="0"/>
              <w:jc w:val="center"/>
              <w:rPr>
                <w:rFonts w:ascii="Arial" w:hAnsi="Arial"/>
                <w:b/>
                <w:bCs/>
                <w:sz w:val="28"/>
                <w:szCs w:val="28"/>
                <w:u w:val="single"/>
              </w:rPr>
            </w:pPr>
            <w:r>
              <w:rPr>
                <w:rFonts w:ascii="Arial" w:hAnsi="Arial" w:hint="cs"/>
                <w:b/>
                <w:bCs/>
                <w:sz w:val="28"/>
                <w:szCs w:val="28"/>
                <w:u w:val="single"/>
                <w:rtl/>
              </w:rPr>
              <w:t>פסק דין</w:t>
            </w:r>
          </w:p>
          <w:p w:rsidR="00D44968" w:rsidRPr="00D44968" w:rsidRDefault="00D44968" w:rsidP="00D44968">
            <w:pPr>
              <w:bidi w:val="0"/>
              <w:jc w:val="center"/>
              <w:rPr>
                <w:rFonts w:ascii="Arial" w:hAnsi="Arial"/>
                <w:b/>
                <w:bCs/>
                <w:sz w:val="28"/>
                <w:szCs w:val="28"/>
                <w:u w:val="single"/>
              </w:rPr>
            </w:pPr>
          </w:p>
        </w:tc>
      </w:tr>
    </w:tbl>
    <w:p w:rsidR="0073417C" w:rsidRDefault="0073417C" w:rsidP="00DD4E72">
      <w:pPr>
        <w:spacing w:line="360" w:lineRule="auto"/>
        <w:jc w:val="both"/>
        <w:rPr>
          <w:rFonts w:ascii="Calibri" w:eastAsia="Calibri" w:hAnsi="Calibri"/>
        </w:rPr>
      </w:pPr>
      <w:bookmarkStart w:id="1" w:name="NGCSBookmark"/>
      <w:bookmarkEnd w:id="1"/>
      <w:r>
        <w:rPr>
          <w:rFonts w:ascii="Calibri" w:eastAsia="Calibri" w:hAnsi="Calibri"/>
          <w:rtl/>
        </w:rPr>
        <w:t xml:space="preserve">בפניי בקשת רשות ערעור על החלטת בימ"ש קמא מיום </w:t>
      </w:r>
      <w:r>
        <w:rPr>
          <w:rFonts w:ascii="Calibri" w:eastAsia="Calibri" w:hAnsi="Calibri" w:hint="cs"/>
          <w:rtl/>
        </w:rPr>
        <w:t>9.8.23</w:t>
      </w:r>
      <w:r>
        <w:rPr>
          <w:rFonts w:ascii="Calibri" w:eastAsia="Calibri" w:hAnsi="Calibri"/>
          <w:rtl/>
        </w:rPr>
        <w:t xml:space="preserve"> (כב' </w:t>
      </w:r>
      <w:r>
        <w:rPr>
          <w:rFonts w:ascii="Calibri" w:eastAsia="Calibri" w:hAnsi="Calibri" w:hint="cs"/>
          <w:rtl/>
        </w:rPr>
        <w:t>הרשמת הבכירה אילנה הדר</w:t>
      </w:r>
      <w:r>
        <w:rPr>
          <w:rFonts w:ascii="Calibri" w:eastAsia="Calibri" w:hAnsi="Calibri"/>
          <w:rtl/>
        </w:rPr>
        <w:t xml:space="preserve">) במסגרתה </w:t>
      </w:r>
      <w:r w:rsidR="005163F7">
        <w:rPr>
          <w:rFonts w:ascii="Calibri" w:eastAsia="Calibri" w:hAnsi="Calibri" w:hint="cs"/>
          <w:rtl/>
        </w:rPr>
        <w:t xml:space="preserve">הותירה </w:t>
      </w:r>
      <w:r w:rsidR="00DD4E72">
        <w:rPr>
          <w:rFonts w:ascii="Calibri" w:eastAsia="Calibri" w:hAnsi="Calibri" w:hint="cs"/>
          <w:rtl/>
        </w:rPr>
        <w:t xml:space="preserve">את </w:t>
      </w:r>
      <w:r w:rsidR="005163F7">
        <w:rPr>
          <w:rFonts w:ascii="Calibri" w:eastAsia="Calibri" w:hAnsi="Calibri" w:hint="cs"/>
          <w:rtl/>
        </w:rPr>
        <w:t xml:space="preserve">צו </w:t>
      </w:r>
      <w:r w:rsidR="00DD4E72">
        <w:rPr>
          <w:rFonts w:ascii="Calibri" w:eastAsia="Calibri" w:hAnsi="Calibri" w:hint="cs"/>
          <w:rtl/>
        </w:rPr>
        <w:t>ה</w:t>
      </w:r>
      <w:r w:rsidR="005163F7">
        <w:rPr>
          <w:rFonts w:ascii="Calibri" w:eastAsia="Calibri" w:hAnsi="Calibri" w:hint="cs"/>
          <w:rtl/>
        </w:rPr>
        <w:t xml:space="preserve">עיקול זמני </w:t>
      </w:r>
      <w:r w:rsidR="00DD4E72">
        <w:rPr>
          <w:rFonts w:ascii="Calibri" w:eastAsia="Calibri" w:hAnsi="Calibri" w:hint="cs"/>
          <w:rtl/>
        </w:rPr>
        <w:t xml:space="preserve">שניתן במעמד צד אחד </w:t>
      </w:r>
      <w:r w:rsidR="005163F7">
        <w:rPr>
          <w:rFonts w:ascii="Calibri" w:eastAsia="Calibri" w:hAnsi="Calibri" w:hint="cs"/>
          <w:rtl/>
        </w:rPr>
        <w:t xml:space="preserve">על זכויות המבקשת </w:t>
      </w:r>
      <w:r w:rsidR="00DD4E72">
        <w:rPr>
          <w:rFonts w:ascii="Calibri" w:eastAsia="Calibri" w:hAnsi="Calibri" w:hint="cs"/>
          <w:rtl/>
        </w:rPr>
        <w:t xml:space="preserve">בדירת המגורים </w:t>
      </w:r>
      <w:r w:rsidR="005163F7">
        <w:rPr>
          <w:rFonts w:ascii="Calibri" w:eastAsia="Calibri" w:hAnsi="Calibri" w:hint="cs"/>
          <w:rtl/>
        </w:rPr>
        <w:t>המשותפת ל</w:t>
      </w:r>
      <w:r w:rsidR="00DD4E72">
        <w:rPr>
          <w:rFonts w:ascii="Calibri" w:eastAsia="Calibri" w:hAnsi="Calibri" w:hint="cs"/>
          <w:rtl/>
        </w:rPr>
        <w:t xml:space="preserve">ה </w:t>
      </w:r>
      <w:r w:rsidR="005163F7">
        <w:rPr>
          <w:rFonts w:ascii="Calibri" w:eastAsia="Calibri" w:hAnsi="Calibri" w:hint="cs"/>
          <w:rtl/>
        </w:rPr>
        <w:t>ולבעלה</w:t>
      </w:r>
      <w:r w:rsidR="00DD4E72">
        <w:rPr>
          <w:rFonts w:ascii="Calibri" w:eastAsia="Calibri" w:hAnsi="Calibri" w:hint="cs"/>
          <w:rtl/>
        </w:rPr>
        <w:t xml:space="preserve"> שהינו </w:t>
      </w:r>
      <w:r w:rsidR="005163F7">
        <w:rPr>
          <w:rFonts w:ascii="Calibri" w:eastAsia="Calibri" w:hAnsi="Calibri" w:hint="cs"/>
          <w:rtl/>
        </w:rPr>
        <w:t xml:space="preserve">בנה של המשיבה. </w:t>
      </w:r>
    </w:p>
    <w:p w:rsidR="00563D04" w:rsidRDefault="00563D04" w:rsidP="00563D04">
      <w:pPr>
        <w:spacing w:line="360" w:lineRule="auto"/>
        <w:jc w:val="both"/>
        <w:rPr>
          <w:rFonts w:ascii="Aharoni" w:eastAsia="Calibri" w:hAnsi="Aharoni" w:cs="Aharoni"/>
        </w:rPr>
      </w:pPr>
      <w:r>
        <w:rPr>
          <w:rFonts w:ascii="Aharoni" w:eastAsia="Calibri" w:hAnsi="Aharoni" w:cs="Aharoni"/>
          <w:rtl/>
        </w:rPr>
        <w:t>[</w:t>
      </w:r>
      <w:r>
        <w:rPr>
          <w:rFonts w:ascii="Aharoni" w:eastAsia="Calibri" w:hAnsi="Aharoni" w:cs="Aharoni"/>
          <w:b/>
          <w:bCs/>
          <w:u w:val="single"/>
          <w:rtl/>
        </w:rPr>
        <w:t>הערה</w:t>
      </w:r>
      <w:r>
        <w:rPr>
          <w:rFonts w:ascii="Aharoni" w:eastAsia="Calibri" w:hAnsi="Aharoni" w:cs="Aharoni"/>
          <w:rtl/>
        </w:rPr>
        <w:t>: ההדגשות בציטוטים שיובאו בפסה"ד להלן, אינן במקור ונועדו לשם ההדגשה בלבד]</w:t>
      </w:r>
    </w:p>
    <w:p w:rsidR="00563D04" w:rsidRDefault="00563D04" w:rsidP="0073417C">
      <w:pPr>
        <w:spacing w:line="360" w:lineRule="auto"/>
        <w:jc w:val="both"/>
        <w:rPr>
          <w:rFonts w:ascii="Arial" w:eastAsia="Calibri" w:hAnsi="Arial"/>
          <w:b/>
          <w:bCs/>
          <w:rtl/>
        </w:rPr>
      </w:pPr>
    </w:p>
    <w:p w:rsidR="0073417C" w:rsidRPr="0073417C" w:rsidRDefault="0073417C" w:rsidP="0073417C">
      <w:pPr>
        <w:spacing w:line="360" w:lineRule="auto"/>
        <w:jc w:val="both"/>
        <w:rPr>
          <w:rFonts w:ascii="Arial" w:eastAsia="Calibri" w:hAnsi="Arial"/>
          <w:b/>
          <w:bCs/>
        </w:rPr>
      </w:pPr>
      <w:r>
        <w:rPr>
          <w:rFonts w:ascii="Arial" w:eastAsia="Calibri" w:hAnsi="Arial"/>
          <w:b/>
          <w:bCs/>
          <w:rtl/>
        </w:rPr>
        <w:t>לאחר עיון בבקשת רשות הערעור על נספחיה ובתיק קמא, ומכח סמכותי על פי תקנות 138(א)(1)(5) לתקנות סדר הדין האזרחי, תשע"ט-2018 (להלן: "התקנות"),</w:t>
      </w:r>
      <w:r>
        <w:rPr>
          <w:rFonts w:ascii="Arial" w:eastAsia="Calibri" w:hAnsi="Arial" w:hint="cs"/>
          <w:b/>
          <w:bCs/>
          <w:rtl/>
        </w:rPr>
        <w:t xml:space="preserve"> </w:t>
      </w:r>
      <w:r>
        <w:rPr>
          <w:rFonts w:ascii="David" w:eastAsia="Calibri" w:hAnsi="David"/>
          <w:b/>
          <w:bCs/>
          <w:rtl/>
        </w:rPr>
        <w:t>אשר הוחלו גם על בקשות רשות ערעור בענייני משפחה מכוח</w:t>
      </w:r>
      <w:r>
        <w:rPr>
          <w:rFonts w:ascii="Garamond" w:eastAsia="Calibri" w:hAnsi="Garamond"/>
          <w:b/>
          <w:bCs/>
          <w:rtl/>
        </w:rPr>
        <w:t xml:space="preserve"> </w:t>
      </w:r>
      <w:r>
        <w:rPr>
          <w:rFonts w:ascii="David" w:eastAsia="Calibri" w:hAnsi="David"/>
          <w:b/>
          <w:bCs/>
          <w:rtl/>
        </w:rPr>
        <w:t>תקנה 44 ל</w:t>
      </w:r>
      <w:hyperlink r:id="rId13" w:history="1">
        <w:r>
          <w:rPr>
            <w:rStyle w:val="Hyperlink"/>
            <w:rFonts w:ascii="David" w:eastAsia="Calibri" w:hAnsi="David"/>
            <w:b/>
            <w:bCs/>
            <w:rtl/>
          </w:rPr>
          <w:t>תקנות בית המשפט לענייני משפחה (סדרי דין), התשפ"א-2020</w:t>
        </w:r>
      </w:hyperlink>
      <w:r>
        <w:rPr>
          <w:rFonts w:ascii="David" w:eastAsia="Calibri" w:hAnsi="David"/>
          <w:b/>
          <w:bCs/>
          <w:rtl/>
        </w:rPr>
        <w:t>,</w:t>
      </w:r>
      <w:r>
        <w:rPr>
          <w:rFonts w:ascii="David" w:eastAsia="Calibri" w:hAnsi="David" w:hint="cs"/>
          <w:b/>
          <w:bCs/>
          <w:rtl/>
        </w:rPr>
        <w:t xml:space="preserve"> </w:t>
      </w:r>
      <w:r>
        <w:rPr>
          <w:rFonts w:ascii="Arial" w:eastAsia="Calibri" w:hAnsi="Arial"/>
          <w:b/>
          <w:bCs/>
          <w:rtl/>
        </w:rPr>
        <w:t xml:space="preserve">שוכנעתי לדחות את הבקשה אף ללא צורך בתשובה, מהטעמים שיפורטו. </w:t>
      </w:r>
    </w:p>
    <w:p w:rsidR="00694556" w:rsidRDefault="00694556">
      <w:pPr>
        <w:spacing w:line="360" w:lineRule="auto"/>
        <w:jc w:val="both"/>
        <w:rPr>
          <w:rFonts w:ascii="Arial" w:hAnsi="Arial"/>
          <w:rtl/>
        </w:rPr>
      </w:pPr>
    </w:p>
    <w:p w:rsidR="00DD4E72" w:rsidRDefault="00DD4E72" w:rsidP="00DD4E72">
      <w:pPr>
        <w:spacing w:line="360" w:lineRule="auto"/>
        <w:jc w:val="both"/>
        <w:rPr>
          <w:rFonts w:ascii="David" w:hAnsi="David"/>
          <w:rtl/>
        </w:rPr>
      </w:pPr>
      <w:r>
        <w:rPr>
          <w:rFonts w:ascii="David" w:hAnsi="David"/>
          <w:rtl/>
        </w:rPr>
        <w:t xml:space="preserve">עסקינן בהחלטה העוסקת בסעד זמני. הלכה פסוקה היא בהחלטות שעניינן סעד זמני, </w:t>
      </w:r>
      <w:r w:rsidR="002D6017">
        <w:rPr>
          <w:rFonts w:ascii="David" w:hAnsi="David" w:hint="cs"/>
          <w:b/>
          <w:bCs/>
          <w:rtl/>
        </w:rPr>
        <w:t>ש</w:t>
      </w:r>
      <w:r w:rsidRPr="00DD4E72">
        <w:rPr>
          <w:rFonts w:ascii="David" w:hAnsi="David"/>
          <w:b/>
          <w:bCs/>
          <w:rtl/>
        </w:rPr>
        <w:t>שיקול דעתה של הערכאה הדיונית הוא רחב</w:t>
      </w:r>
      <w:r>
        <w:rPr>
          <w:rFonts w:ascii="David" w:hAnsi="David"/>
          <w:rtl/>
        </w:rPr>
        <w:t xml:space="preserve">, נוכח יכולתה </w:t>
      </w:r>
      <w:r w:rsidRPr="00DD4E72">
        <w:rPr>
          <w:rFonts w:ascii="David" w:hAnsi="David"/>
          <w:u w:val="single"/>
          <w:rtl/>
        </w:rPr>
        <w:t>להתרשם</w:t>
      </w:r>
      <w:r>
        <w:rPr>
          <w:rFonts w:ascii="David" w:hAnsi="David"/>
          <w:rtl/>
        </w:rPr>
        <w:t xml:space="preserve"> באופן ישיר ובלתי אמצעי מהצדדים להליך. משכך, התערבות בשיקול דעתה של הערכאה הדיונית שמורה למקרים </w:t>
      </w:r>
      <w:r w:rsidRPr="002D6017">
        <w:rPr>
          <w:rFonts w:ascii="David" w:hAnsi="David"/>
          <w:u w:val="single"/>
          <w:rtl/>
        </w:rPr>
        <w:t>חריגים</w:t>
      </w:r>
      <w:r>
        <w:rPr>
          <w:rFonts w:ascii="David" w:hAnsi="David"/>
          <w:rtl/>
        </w:rPr>
        <w:t xml:space="preserve"> בלבד (ראו מיני רבים: </w:t>
      </w:r>
      <w:hyperlink r:id="rId14" w:history="1">
        <w:r>
          <w:rPr>
            <w:rStyle w:val="Hyperlink"/>
            <w:rFonts w:ascii="David" w:hAnsi="David"/>
            <w:rtl/>
          </w:rPr>
          <w:t>רע"א 5129/22</w:t>
        </w:r>
      </w:hyperlink>
      <w:r>
        <w:rPr>
          <w:rFonts w:ascii="David" w:hAnsi="David"/>
          <w:rtl/>
        </w:rPr>
        <w:t xml:space="preserve"> </w:t>
      </w:r>
      <w:r>
        <w:rPr>
          <w:rFonts w:ascii="David" w:hAnsi="David"/>
          <w:bCs/>
          <w:rtl/>
        </w:rPr>
        <w:t>א. מרתון גיא בע"מ נ' חי</w:t>
      </w:r>
      <w:r>
        <w:rPr>
          <w:rFonts w:ascii="David" w:hAnsi="David"/>
          <w:rtl/>
        </w:rPr>
        <w:t xml:space="preserve">, סע' 16 (03.08.2022); </w:t>
      </w:r>
      <w:hyperlink r:id="rId15" w:history="1">
        <w:r>
          <w:rPr>
            <w:rStyle w:val="Hyperlink"/>
            <w:rFonts w:ascii="David" w:hAnsi="David"/>
            <w:rtl/>
          </w:rPr>
          <w:t>רע"א 3751/22</w:t>
        </w:r>
      </w:hyperlink>
      <w:r>
        <w:rPr>
          <w:rFonts w:ascii="David" w:hAnsi="David"/>
          <w:rtl/>
        </w:rPr>
        <w:t xml:space="preserve"> </w:t>
      </w:r>
      <w:r>
        <w:rPr>
          <w:rFonts w:ascii="David" w:hAnsi="David"/>
          <w:bCs/>
          <w:rtl/>
        </w:rPr>
        <w:t>בנילוז נ' לוי</w:t>
      </w:r>
      <w:r>
        <w:rPr>
          <w:rFonts w:ascii="David" w:hAnsi="David"/>
          <w:rtl/>
        </w:rPr>
        <w:t xml:space="preserve">, סע' 14 (28.06.2022)). </w:t>
      </w:r>
    </w:p>
    <w:p w:rsidR="00DD4E72" w:rsidRDefault="00DD4E72" w:rsidP="00671C74">
      <w:pPr>
        <w:spacing w:line="360" w:lineRule="auto"/>
        <w:jc w:val="both"/>
        <w:rPr>
          <w:rFonts w:ascii="David" w:hAnsi="David"/>
          <w:rtl/>
        </w:rPr>
      </w:pPr>
      <w:r>
        <w:rPr>
          <w:rFonts w:ascii="David" w:hAnsi="David"/>
          <w:rtl/>
        </w:rPr>
        <w:t xml:space="preserve">בענייננו, ההחלטה מושא הבקשה דנא אינה נופלת בגדר החריג ואינה מצדיקה מתן רשות ערעור. בית משפט קמא דן באופן יסודי בטענות הצדדים, בחן את חומר הראיות שהונח לפניו </w:t>
      </w:r>
      <w:r w:rsidRPr="00DD4E72">
        <w:rPr>
          <w:rFonts w:ascii="David" w:hAnsi="David"/>
          <w:u w:val="single"/>
          <w:rtl/>
        </w:rPr>
        <w:t>והתרש</w:t>
      </w:r>
      <w:r w:rsidR="00671C74">
        <w:rPr>
          <w:rFonts w:ascii="David" w:hAnsi="David" w:hint="cs"/>
          <w:u w:val="single"/>
          <w:rtl/>
        </w:rPr>
        <w:t>ם בדיון</w:t>
      </w:r>
      <w:r>
        <w:rPr>
          <w:rFonts w:ascii="David" w:hAnsi="David"/>
          <w:rtl/>
        </w:rPr>
        <w:t xml:space="preserve"> מחקירות הצדדים. על יסוד כל אלה ניתנה החלטתו </w:t>
      </w:r>
      <w:r w:rsidRPr="002D6017">
        <w:rPr>
          <w:rFonts w:ascii="David" w:hAnsi="David"/>
          <w:u w:val="single"/>
          <w:rtl/>
        </w:rPr>
        <w:t>המנומקת והמפורטת</w:t>
      </w:r>
      <w:r>
        <w:rPr>
          <w:rFonts w:ascii="David" w:hAnsi="David"/>
          <w:rtl/>
        </w:rPr>
        <w:t xml:space="preserve"> של ב</w:t>
      </w:r>
      <w:r w:rsidR="00E24ADB">
        <w:rPr>
          <w:rFonts w:ascii="David" w:hAnsi="David" w:hint="cs"/>
          <w:rtl/>
        </w:rPr>
        <w:t xml:space="preserve">ימ"ש </w:t>
      </w:r>
      <w:r>
        <w:rPr>
          <w:rFonts w:ascii="David" w:hAnsi="David"/>
          <w:rtl/>
        </w:rPr>
        <w:t>קמא, ולא מצאתי בטענות המ</w:t>
      </w:r>
      <w:r w:rsidR="002D6017">
        <w:rPr>
          <w:rFonts w:ascii="David" w:hAnsi="David" w:hint="cs"/>
          <w:rtl/>
        </w:rPr>
        <w:t>בקשת</w:t>
      </w:r>
      <w:r>
        <w:rPr>
          <w:rFonts w:ascii="David" w:hAnsi="David"/>
          <w:rtl/>
        </w:rPr>
        <w:t xml:space="preserve"> כל בסיס להתערבות ב</w:t>
      </w:r>
      <w:r w:rsidR="002D6017">
        <w:rPr>
          <w:rFonts w:ascii="David" w:hAnsi="David" w:hint="cs"/>
          <w:rtl/>
        </w:rPr>
        <w:t>שיקול דעתו של בימ"ש קמא</w:t>
      </w:r>
      <w:r>
        <w:rPr>
          <w:rFonts w:ascii="David" w:hAnsi="David"/>
          <w:rtl/>
        </w:rPr>
        <w:t xml:space="preserve">. </w:t>
      </w:r>
      <w:r>
        <w:rPr>
          <w:rFonts w:ascii="David" w:hAnsi="David" w:hint="cs"/>
          <w:rtl/>
        </w:rPr>
        <w:t>וארחיב קימעא למען לא יצא חסר:</w:t>
      </w:r>
    </w:p>
    <w:p w:rsidR="00DD4E72" w:rsidRDefault="00DD4E72">
      <w:pPr>
        <w:spacing w:line="360" w:lineRule="auto"/>
        <w:jc w:val="both"/>
        <w:rPr>
          <w:rFonts w:ascii="Arial" w:hAnsi="Arial"/>
          <w:rtl/>
        </w:rPr>
      </w:pPr>
    </w:p>
    <w:p w:rsidR="005163F7" w:rsidRDefault="005163F7" w:rsidP="00C15743">
      <w:pPr>
        <w:pStyle w:val="af0"/>
        <w:numPr>
          <w:ilvl w:val="0"/>
          <w:numId w:val="1"/>
        </w:numPr>
        <w:spacing w:line="360" w:lineRule="auto"/>
        <w:jc w:val="both"/>
        <w:rPr>
          <w:rFonts w:ascii="Arial" w:hAnsi="Arial"/>
        </w:rPr>
      </w:pPr>
      <w:r>
        <w:rPr>
          <w:rFonts w:ascii="Arial" w:hAnsi="Arial" w:hint="cs"/>
          <w:rtl/>
        </w:rPr>
        <w:t>בין המבקשת ובעלה שהינו בנה של המשיבה, מתנהלים הליכים משפטיים</w:t>
      </w:r>
      <w:r w:rsidR="00C15743">
        <w:rPr>
          <w:rFonts w:ascii="Arial" w:hAnsi="Arial" w:hint="cs"/>
          <w:rtl/>
        </w:rPr>
        <w:t>,</w:t>
      </w:r>
      <w:r w:rsidR="00DD4E72">
        <w:rPr>
          <w:rFonts w:ascii="Arial" w:hAnsi="Arial" w:hint="cs"/>
          <w:rtl/>
        </w:rPr>
        <w:t xml:space="preserve"> לרבות הליכים רכושיים ופירוק שיתוף באשר לדירת המגורים המשותפת, בה הזכויות רשומים ע"ש המבקשת ובעלה בחלקים שווים</w:t>
      </w:r>
      <w:r w:rsidR="00740837">
        <w:rPr>
          <w:rFonts w:ascii="Arial" w:hAnsi="Arial" w:hint="cs"/>
          <w:rtl/>
        </w:rPr>
        <w:t xml:space="preserve"> </w:t>
      </w:r>
      <w:r w:rsidR="00740837">
        <w:rPr>
          <w:rFonts w:ascii="Arial" w:hAnsi="Arial"/>
          <w:rtl/>
        </w:rPr>
        <w:t>–</w:t>
      </w:r>
      <w:r w:rsidR="00740837">
        <w:rPr>
          <w:rFonts w:ascii="Arial" w:hAnsi="Arial" w:hint="cs"/>
          <w:rtl/>
        </w:rPr>
        <w:t xml:space="preserve"> להלן: </w:t>
      </w:r>
      <w:r w:rsidR="00740837" w:rsidRPr="00740837">
        <w:rPr>
          <w:rFonts w:ascii="Arial" w:hAnsi="Arial" w:hint="cs"/>
          <w:b/>
          <w:bCs/>
          <w:rtl/>
        </w:rPr>
        <w:t>"הדירה"</w:t>
      </w:r>
      <w:r>
        <w:rPr>
          <w:rFonts w:ascii="Arial" w:hAnsi="Arial" w:hint="cs"/>
          <w:rtl/>
        </w:rPr>
        <w:t xml:space="preserve">. </w:t>
      </w:r>
    </w:p>
    <w:p w:rsidR="005163F7" w:rsidRDefault="005163F7" w:rsidP="005163F7">
      <w:pPr>
        <w:spacing w:line="360" w:lineRule="auto"/>
        <w:jc w:val="both"/>
        <w:rPr>
          <w:rFonts w:ascii="Arial" w:hAnsi="Arial"/>
          <w:rtl/>
        </w:rPr>
      </w:pPr>
    </w:p>
    <w:p w:rsidR="005163F7" w:rsidRDefault="005163F7" w:rsidP="00740837">
      <w:pPr>
        <w:pStyle w:val="af0"/>
        <w:numPr>
          <w:ilvl w:val="0"/>
          <w:numId w:val="1"/>
        </w:numPr>
        <w:spacing w:line="360" w:lineRule="auto"/>
        <w:jc w:val="both"/>
        <w:rPr>
          <w:rFonts w:ascii="Arial" w:hAnsi="Arial"/>
        </w:rPr>
      </w:pPr>
      <w:r>
        <w:rPr>
          <w:rFonts w:ascii="Arial" w:hAnsi="Arial" w:hint="cs"/>
          <w:rtl/>
        </w:rPr>
        <w:lastRenderedPageBreak/>
        <w:t>במסגרת כלל ההליכים</w:t>
      </w:r>
      <w:r w:rsidR="00DD4E72">
        <w:rPr>
          <w:rFonts w:ascii="Arial" w:hAnsi="Arial" w:hint="cs"/>
          <w:rtl/>
        </w:rPr>
        <w:t xml:space="preserve"> קיימת תביעה נוספת היא תביעתה של </w:t>
      </w:r>
      <w:r>
        <w:rPr>
          <w:rFonts w:ascii="Arial" w:hAnsi="Arial" w:hint="cs"/>
          <w:rtl/>
        </w:rPr>
        <w:t>המשיבה שהינה חמותה של המבקשת (אימו של בעלה של המבקשת)</w:t>
      </w:r>
      <w:r w:rsidR="00DD4E72">
        <w:rPr>
          <w:rFonts w:ascii="Arial" w:hAnsi="Arial" w:hint="cs"/>
          <w:rtl/>
        </w:rPr>
        <w:t>, אשר הגישה כ</w:t>
      </w:r>
      <w:r w:rsidR="00740837">
        <w:rPr>
          <w:rFonts w:ascii="Arial" w:hAnsi="Arial" w:hint="cs"/>
          <w:rtl/>
        </w:rPr>
        <w:t xml:space="preserve">נגד המבקשת </w:t>
      </w:r>
      <w:r>
        <w:rPr>
          <w:rFonts w:ascii="Arial" w:hAnsi="Arial" w:hint="cs"/>
          <w:rtl/>
        </w:rPr>
        <w:t xml:space="preserve">תביעה </w:t>
      </w:r>
      <w:r w:rsidRPr="00E24ADB">
        <w:rPr>
          <w:rFonts w:ascii="Arial" w:hAnsi="Arial" w:hint="cs"/>
          <w:u w:val="single"/>
          <w:rtl/>
        </w:rPr>
        <w:t>כספית</w:t>
      </w:r>
      <w:r>
        <w:rPr>
          <w:rFonts w:ascii="Arial" w:hAnsi="Arial" w:hint="cs"/>
          <w:rtl/>
        </w:rPr>
        <w:t xml:space="preserve"> בטענה שהמבקשת משכה כספים </w:t>
      </w:r>
      <w:r w:rsidR="00E24ADB">
        <w:rPr>
          <w:rFonts w:ascii="Arial" w:hAnsi="Arial" w:hint="cs"/>
          <w:rtl/>
        </w:rPr>
        <w:t xml:space="preserve">רבים </w:t>
      </w:r>
      <w:r>
        <w:rPr>
          <w:rFonts w:ascii="Arial" w:hAnsi="Arial" w:hint="cs"/>
          <w:rtl/>
        </w:rPr>
        <w:t>מחשבונותיה במשך שנים וללא זכות שבדין לצורך שימושה האישי, לרבות את כספי הפנסיה שלה</w:t>
      </w:r>
      <w:r w:rsidR="00740837">
        <w:rPr>
          <w:rFonts w:ascii="Arial" w:hAnsi="Arial" w:hint="cs"/>
          <w:rtl/>
        </w:rPr>
        <w:t xml:space="preserve"> שמועברים ישירות מהפדרציה הרוסית לחשבון הבנק המשותף של המבקשת עם בעלה</w:t>
      </w:r>
      <w:r>
        <w:rPr>
          <w:rFonts w:ascii="Arial" w:hAnsi="Arial" w:hint="cs"/>
          <w:rtl/>
        </w:rPr>
        <w:t xml:space="preserve">. </w:t>
      </w:r>
      <w:r w:rsidR="00E24ADB">
        <w:rPr>
          <w:rFonts w:ascii="Arial" w:hAnsi="Arial" w:hint="cs"/>
          <w:rtl/>
        </w:rPr>
        <w:t>לטענת המשיבה, המבקשת היא זו שעומדת מאחורי משיכות הכספים.</w:t>
      </w:r>
    </w:p>
    <w:p w:rsidR="005163F7" w:rsidRDefault="005163F7" w:rsidP="00E24ADB">
      <w:pPr>
        <w:spacing w:line="360" w:lineRule="auto"/>
        <w:ind w:left="720"/>
        <w:jc w:val="both"/>
        <w:rPr>
          <w:rFonts w:ascii="Arial" w:hAnsi="Arial"/>
          <w:rtl/>
        </w:rPr>
      </w:pPr>
      <w:r>
        <w:rPr>
          <w:rFonts w:ascii="Arial" w:hAnsi="Arial" w:hint="cs"/>
          <w:rtl/>
        </w:rPr>
        <w:t>במסגרת תביעתה הגישה המשיבה בקשה למתן צו עיקול זמני על זכויות המבקשת בדירה</w:t>
      </w:r>
      <w:r w:rsidR="00740837">
        <w:rPr>
          <w:rFonts w:ascii="Arial" w:hAnsi="Arial" w:hint="cs"/>
          <w:rtl/>
        </w:rPr>
        <w:t xml:space="preserve">, </w:t>
      </w:r>
      <w:r>
        <w:rPr>
          <w:rFonts w:ascii="Arial" w:hAnsi="Arial" w:hint="cs"/>
          <w:rtl/>
        </w:rPr>
        <w:t>ניתן צו עיקול זמני במעמד צד אחד והמבקשת הגישה בקשה לביטול</w:t>
      </w:r>
      <w:r w:rsidR="00740837">
        <w:rPr>
          <w:rFonts w:ascii="Arial" w:hAnsi="Arial" w:hint="cs"/>
          <w:rtl/>
        </w:rPr>
        <w:t>ו</w:t>
      </w:r>
      <w:r w:rsidR="00B9630F">
        <w:rPr>
          <w:rFonts w:ascii="Arial" w:hAnsi="Arial" w:hint="cs"/>
          <w:rtl/>
        </w:rPr>
        <w:t xml:space="preserve"> וטענה בין היתר כי המשיבה לא הציגה ראיות מהימנות לכאורה לקיומה של עילת התביעה, לא הוצגו מסמכי העברת כספים, </w:t>
      </w:r>
      <w:r w:rsidR="00E24ADB">
        <w:rPr>
          <w:rFonts w:ascii="Arial" w:hAnsi="Arial" w:hint="cs"/>
          <w:rtl/>
        </w:rPr>
        <w:t>מנגד הודתה המבקשת</w:t>
      </w:r>
      <w:r w:rsidR="00B9630F">
        <w:rPr>
          <w:rFonts w:ascii="Arial" w:hAnsi="Arial" w:hint="cs"/>
          <w:rtl/>
        </w:rPr>
        <w:t xml:space="preserve"> כי כספי הפנסיה של המשיבה מועברים </w:t>
      </w:r>
      <w:r w:rsidR="00740837">
        <w:rPr>
          <w:rFonts w:ascii="Arial" w:hAnsi="Arial" w:hint="cs"/>
          <w:rtl/>
        </w:rPr>
        <w:t xml:space="preserve">לחשבון הבנק של שלה ושל בעלה </w:t>
      </w:r>
      <w:r w:rsidR="00B9630F">
        <w:rPr>
          <w:rFonts w:ascii="Arial" w:hAnsi="Arial" w:hint="cs"/>
          <w:rtl/>
        </w:rPr>
        <w:t xml:space="preserve">אך טענה כי מדובר בהסדר מוסכם </w:t>
      </w:r>
      <w:r w:rsidR="00740837">
        <w:rPr>
          <w:rFonts w:ascii="Arial" w:hAnsi="Arial" w:hint="cs"/>
          <w:rtl/>
        </w:rPr>
        <w:t xml:space="preserve">עם המשיבה </w:t>
      </w:r>
      <w:r w:rsidR="00B9630F">
        <w:rPr>
          <w:rFonts w:ascii="Arial" w:hAnsi="Arial" w:hint="cs"/>
          <w:rtl/>
        </w:rPr>
        <w:t>וכי הסדר זה מתקיים כ-7 שנים. עוד טענה המבקשת כי מעולם לא ה</w:t>
      </w:r>
      <w:r w:rsidR="00740837">
        <w:rPr>
          <w:rFonts w:ascii="Arial" w:hAnsi="Arial" w:hint="cs"/>
          <w:rtl/>
        </w:rPr>
        <w:t>י</w:t>
      </w:r>
      <w:r w:rsidR="00B9630F">
        <w:rPr>
          <w:rFonts w:ascii="Arial" w:hAnsi="Arial" w:hint="cs"/>
          <w:rtl/>
        </w:rPr>
        <w:t xml:space="preserve">יתה שותפה בחשבונות הבנק של המשיבה ולא היה לה ייפוי כוח בהם ומי שהיה לו ייפוי כוח כאמור הוא בנה של המשיבה. </w:t>
      </w:r>
    </w:p>
    <w:p w:rsidR="00B9630F" w:rsidRDefault="00B9630F" w:rsidP="00B9630F">
      <w:pPr>
        <w:spacing w:line="360" w:lineRule="auto"/>
        <w:ind w:left="720"/>
        <w:jc w:val="both"/>
        <w:rPr>
          <w:rFonts w:ascii="Arial" w:hAnsi="Arial"/>
          <w:rtl/>
        </w:rPr>
      </w:pPr>
    </w:p>
    <w:p w:rsidR="00B9630F" w:rsidRDefault="00B9630F" w:rsidP="00740837">
      <w:pPr>
        <w:pStyle w:val="af0"/>
        <w:numPr>
          <w:ilvl w:val="0"/>
          <w:numId w:val="1"/>
        </w:numPr>
        <w:spacing w:line="360" w:lineRule="auto"/>
        <w:jc w:val="both"/>
        <w:rPr>
          <w:rFonts w:ascii="Arial" w:hAnsi="Arial"/>
        </w:rPr>
      </w:pPr>
      <w:r>
        <w:rPr>
          <w:rFonts w:ascii="Arial" w:hAnsi="Arial" w:hint="cs"/>
          <w:rtl/>
        </w:rPr>
        <w:t>ביום 17.7.23 התקיים דיון במעמד הצדדים</w:t>
      </w:r>
      <w:r w:rsidR="00740837">
        <w:rPr>
          <w:rFonts w:ascii="Arial" w:hAnsi="Arial" w:hint="cs"/>
          <w:rtl/>
        </w:rPr>
        <w:t xml:space="preserve"> בבקשת ביטול העיקול</w:t>
      </w:r>
      <w:r>
        <w:rPr>
          <w:rFonts w:ascii="Arial" w:hAnsi="Arial" w:hint="cs"/>
          <w:rtl/>
        </w:rPr>
        <w:t xml:space="preserve">, </w:t>
      </w:r>
      <w:r w:rsidRPr="00740837">
        <w:rPr>
          <w:rFonts w:ascii="Arial" w:hAnsi="Arial" w:hint="cs"/>
          <w:b/>
          <w:bCs/>
          <w:rtl/>
        </w:rPr>
        <w:t>בית המשפט שמע הן את הצדדים והן את ב</w:t>
      </w:r>
      <w:r w:rsidR="00740837">
        <w:rPr>
          <w:rFonts w:ascii="Arial" w:hAnsi="Arial" w:hint="cs"/>
          <w:b/>
          <w:bCs/>
          <w:rtl/>
        </w:rPr>
        <w:t>אי-כוחם</w:t>
      </w:r>
      <w:r w:rsidRPr="00740837">
        <w:rPr>
          <w:rFonts w:ascii="Arial" w:hAnsi="Arial" w:hint="cs"/>
          <w:b/>
          <w:bCs/>
          <w:rtl/>
        </w:rPr>
        <w:t xml:space="preserve"> </w:t>
      </w:r>
      <w:r w:rsidRPr="00740837">
        <w:rPr>
          <w:rFonts w:ascii="Arial" w:hAnsi="Arial" w:hint="cs"/>
          <w:b/>
          <w:bCs/>
          <w:u w:val="single"/>
          <w:rtl/>
        </w:rPr>
        <w:t>באריכות רבה</w:t>
      </w:r>
      <w:r w:rsidRPr="00740837">
        <w:rPr>
          <w:rFonts w:ascii="Arial" w:hAnsi="Arial" w:hint="cs"/>
          <w:b/>
          <w:bCs/>
          <w:rtl/>
        </w:rPr>
        <w:t xml:space="preserve">, שני הצדדים </w:t>
      </w:r>
      <w:r w:rsidRPr="00740837">
        <w:rPr>
          <w:rFonts w:ascii="Arial" w:hAnsi="Arial" w:hint="cs"/>
          <w:b/>
          <w:bCs/>
          <w:u w:val="single"/>
          <w:rtl/>
        </w:rPr>
        <w:t>נחקרו</w:t>
      </w:r>
      <w:r w:rsidRPr="00740837">
        <w:rPr>
          <w:rFonts w:ascii="Arial" w:hAnsi="Arial" w:hint="cs"/>
          <w:b/>
          <w:bCs/>
          <w:rtl/>
        </w:rPr>
        <w:t xml:space="preserve">, הפרוטוקול עצמו מונה 9 עמודים כאשר בימ"ש קמא מציין בהחלטתו כי הדיון </w:t>
      </w:r>
      <w:r w:rsidR="00740837">
        <w:rPr>
          <w:rFonts w:ascii="Arial" w:hAnsi="Arial" w:hint="cs"/>
          <w:b/>
          <w:bCs/>
          <w:rtl/>
        </w:rPr>
        <w:t>א</w:t>
      </w:r>
      <w:r w:rsidRPr="00740837">
        <w:rPr>
          <w:rFonts w:ascii="Arial" w:hAnsi="Arial" w:hint="cs"/>
          <w:b/>
          <w:bCs/>
          <w:rtl/>
        </w:rPr>
        <w:t>רך זמן</w:t>
      </w:r>
      <w:r>
        <w:rPr>
          <w:rFonts w:ascii="Arial" w:hAnsi="Arial" w:hint="cs"/>
          <w:rtl/>
        </w:rPr>
        <w:t xml:space="preserve">, ובימ"ש </w:t>
      </w:r>
      <w:r w:rsidR="00740837">
        <w:rPr>
          <w:rFonts w:ascii="Arial" w:hAnsi="Arial" w:hint="cs"/>
          <w:rtl/>
        </w:rPr>
        <w:t xml:space="preserve">אף </w:t>
      </w:r>
      <w:r>
        <w:rPr>
          <w:rFonts w:ascii="Arial" w:hAnsi="Arial" w:hint="cs"/>
          <w:rtl/>
        </w:rPr>
        <w:t>א</w:t>
      </w:r>
      <w:r w:rsidR="00740837">
        <w:rPr>
          <w:rFonts w:ascii="Arial" w:hAnsi="Arial" w:hint="cs"/>
          <w:rtl/>
        </w:rPr>
        <w:t>י</w:t>
      </w:r>
      <w:r>
        <w:rPr>
          <w:rFonts w:ascii="Arial" w:hAnsi="Arial" w:hint="cs"/>
          <w:rtl/>
        </w:rPr>
        <w:t xml:space="preserve">פשר לצדדים להגיש סיכומים בכתב, וביום 9.8.23 נתן את החלטתו המפורטת והמנומקת בדבר הותרת צו העיקול הזמני על כנו. </w:t>
      </w:r>
    </w:p>
    <w:p w:rsidR="00B9630F" w:rsidRDefault="00B9630F" w:rsidP="00B9630F">
      <w:pPr>
        <w:pStyle w:val="af0"/>
        <w:spacing w:line="360" w:lineRule="auto"/>
        <w:jc w:val="both"/>
        <w:rPr>
          <w:rFonts w:ascii="Arial" w:hAnsi="Arial"/>
          <w:rtl/>
        </w:rPr>
      </w:pPr>
    </w:p>
    <w:p w:rsidR="00B9630F" w:rsidRPr="00B62CFD" w:rsidRDefault="00B9630F" w:rsidP="00C15743">
      <w:pPr>
        <w:pStyle w:val="af0"/>
        <w:numPr>
          <w:ilvl w:val="0"/>
          <w:numId w:val="1"/>
        </w:numPr>
        <w:spacing w:line="360" w:lineRule="auto"/>
        <w:jc w:val="both"/>
        <w:rPr>
          <w:rFonts w:ascii="Arial" w:hAnsi="Arial"/>
          <w:b/>
          <w:bCs/>
        </w:rPr>
      </w:pPr>
      <w:r>
        <w:rPr>
          <w:rFonts w:ascii="Arial" w:hAnsi="Arial" w:hint="cs"/>
          <w:rtl/>
        </w:rPr>
        <w:t xml:space="preserve">בהחלטתו, מפרט בימ"ש קמא את טענות הצדדים, </w:t>
      </w:r>
      <w:r w:rsidR="00740837">
        <w:rPr>
          <w:rFonts w:ascii="Arial" w:hAnsi="Arial" w:hint="cs"/>
          <w:rtl/>
        </w:rPr>
        <w:t xml:space="preserve">כמו גם </w:t>
      </w:r>
      <w:r>
        <w:rPr>
          <w:rFonts w:ascii="Arial" w:hAnsi="Arial" w:hint="cs"/>
          <w:rtl/>
        </w:rPr>
        <w:t xml:space="preserve">ההלכה הפסוקה </w:t>
      </w:r>
      <w:r w:rsidR="00B62CFD">
        <w:rPr>
          <w:rFonts w:ascii="Arial" w:hAnsi="Arial" w:hint="cs"/>
          <w:rtl/>
        </w:rPr>
        <w:t xml:space="preserve">מקדמא דנא </w:t>
      </w:r>
      <w:r>
        <w:rPr>
          <w:rFonts w:ascii="Arial" w:hAnsi="Arial" w:hint="cs"/>
          <w:rtl/>
        </w:rPr>
        <w:t>במתן צו עיקול זמני</w:t>
      </w:r>
      <w:r w:rsidR="000D320C">
        <w:rPr>
          <w:rFonts w:ascii="Arial" w:hAnsi="Arial" w:hint="cs"/>
          <w:rtl/>
        </w:rPr>
        <w:t xml:space="preserve">, תוך שעומד על כך כי בסופו של דבר תמצית ההלכה הפסוקה </w:t>
      </w:r>
      <w:r w:rsidR="00B62CFD">
        <w:rPr>
          <w:rFonts w:ascii="Arial" w:hAnsi="Arial" w:hint="cs"/>
          <w:rtl/>
        </w:rPr>
        <w:t xml:space="preserve">הינה </w:t>
      </w:r>
      <w:r w:rsidR="000D320C">
        <w:rPr>
          <w:rFonts w:ascii="Arial" w:hAnsi="Arial" w:hint="cs"/>
          <w:rtl/>
        </w:rPr>
        <w:t xml:space="preserve"> </w:t>
      </w:r>
      <w:r w:rsidR="000D320C" w:rsidRPr="00B62CFD">
        <w:rPr>
          <w:rFonts w:ascii="Arial" w:hAnsi="Arial" w:hint="cs"/>
          <w:b/>
          <w:bCs/>
          <w:u w:val="single"/>
          <w:rtl/>
        </w:rPr>
        <w:t>מקבילית הכוחות</w:t>
      </w:r>
      <w:r w:rsidR="000D320C" w:rsidRPr="00B62CFD">
        <w:rPr>
          <w:rFonts w:ascii="Arial" w:hAnsi="Arial" w:hint="cs"/>
          <w:b/>
          <w:bCs/>
          <w:rtl/>
        </w:rPr>
        <w:t xml:space="preserve"> בין </w:t>
      </w:r>
      <w:r w:rsidR="00C15743">
        <w:rPr>
          <w:rFonts w:ascii="Arial" w:hAnsi="Arial" w:hint="cs"/>
          <w:b/>
          <w:bCs/>
          <w:rtl/>
        </w:rPr>
        <w:t>שיקול</w:t>
      </w:r>
      <w:r w:rsidR="00671C74">
        <w:rPr>
          <w:rFonts w:ascii="Arial" w:hAnsi="Arial" w:hint="cs"/>
          <w:b/>
          <w:bCs/>
          <w:rtl/>
        </w:rPr>
        <w:t xml:space="preserve"> </w:t>
      </w:r>
      <w:r w:rsidR="000D320C" w:rsidRPr="00B62CFD">
        <w:rPr>
          <w:rFonts w:ascii="Arial" w:hAnsi="Arial" w:hint="cs"/>
          <w:b/>
          <w:bCs/>
          <w:rtl/>
        </w:rPr>
        <w:t xml:space="preserve">סיכויי התביעה לבין </w:t>
      </w:r>
      <w:r w:rsidR="00C15743">
        <w:rPr>
          <w:rFonts w:ascii="Arial" w:hAnsi="Arial" w:hint="cs"/>
          <w:b/>
          <w:bCs/>
          <w:rtl/>
        </w:rPr>
        <w:t>שיקול</w:t>
      </w:r>
      <w:r w:rsidR="00671C74">
        <w:rPr>
          <w:rFonts w:ascii="Arial" w:hAnsi="Arial" w:hint="cs"/>
          <w:b/>
          <w:bCs/>
          <w:rtl/>
        </w:rPr>
        <w:t xml:space="preserve"> </w:t>
      </w:r>
      <w:r w:rsidR="000D320C" w:rsidRPr="00B62CFD">
        <w:rPr>
          <w:rFonts w:ascii="Arial" w:hAnsi="Arial" w:hint="cs"/>
          <w:b/>
          <w:bCs/>
          <w:rtl/>
        </w:rPr>
        <w:t xml:space="preserve">מאזן הנוחות וההכבדה על ביצוע פסק הדין, כל זאת בתוספת המידתיות שבסעד המבוקש וכן תום הלב. </w:t>
      </w:r>
    </w:p>
    <w:p w:rsidR="000D320C" w:rsidRPr="000D320C" w:rsidRDefault="000D320C" w:rsidP="000D320C">
      <w:pPr>
        <w:pStyle w:val="af0"/>
        <w:rPr>
          <w:rFonts w:ascii="Arial" w:hAnsi="Arial"/>
          <w:rtl/>
        </w:rPr>
      </w:pPr>
    </w:p>
    <w:p w:rsidR="00B62CFD" w:rsidRPr="00B62CFD" w:rsidRDefault="00B62CFD" w:rsidP="00B62CFD">
      <w:pPr>
        <w:pStyle w:val="af0"/>
        <w:numPr>
          <w:ilvl w:val="0"/>
          <w:numId w:val="1"/>
        </w:numPr>
        <w:spacing w:line="360" w:lineRule="auto"/>
        <w:jc w:val="both"/>
        <w:rPr>
          <w:rFonts w:ascii="Arial" w:hAnsi="Arial"/>
        </w:rPr>
      </w:pPr>
      <w:r w:rsidRPr="00B62CFD">
        <w:rPr>
          <w:rFonts w:ascii="Arial" w:hAnsi="Arial" w:hint="cs"/>
          <w:rtl/>
        </w:rPr>
        <w:t xml:space="preserve">לאחר סקירת ההלכה הפסוקה (עליה לא משיגה המבקשת בערעורה), </w:t>
      </w:r>
      <w:r w:rsidR="000D320C" w:rsidRPr="00B62CFD">
        <w:rPr>
          <w:rFonts w:ascii="Arial" w:hAnsi="Arial" w:hint="cs"/>
          <w:rtl/>
        </w:rPr>
        <w:t xml:space="preserve">עבר בימ"ש קמא </w:t>
      </w:r>
      <w:r w:rsidRPr="00B62CFD">
        <w:rPr>
          <w:rFonts w:ascii="Arial" w:hAnsi="Arial" w:hint="cs"/>
          <w:rtl/>
        </w:rPr>
        <w:t>ל</w:t>
      </w:r>
      <w:r w:rsidR="000D320C" w:rsidRPr="00B62CFD">
        <w:rPr>
          <w:rFonts w:ascii="Arial" w:hAnsi="Arial" w:hint="cs"/>
          <w:rtl/>
        </w:rPr>
        <w:t xml:space="preserve">יישום ההלכה הפסוקה </w:t>
      </w:r>
      <w:r w:rsidRPr="00B62CFD">
        <w:rPr>
          <w:rFonts w:ascii="Arial" w:hAnsi="Arial" w:hint="cs"/>
          <w:rtl/>
        </w:rPr>
        <w:t>ב</w:t>
      </w:r>
      <w:r w:rsidR="000D320C" w:rsidRPr="00B62CFD">
        <w:rPr>
          <w:rFonts w:ascii="Arial" w:hAnsi="Arial" w:hint="cs"/>
          <w:rtl/>
        </w:rPr>
        <w:t>עניינינו ו</w:t>
      </w:r>
      <w:r w:rsidRPr="00B62CFD">
        <w:rPr>
          <w:rFonts w:ascii="Arial" w:hAnsi="Arial" w:hint="cs"/>
          <w:rtl/>
        </w:rPr>
        <w:t xml:space="preserve">הגיע למסקנות הבאות, כל זאת לאחר בחינת </w:t>
      </w:r>
      <w:r w:rsidRPr="00B62CFD">
        <w:rPr>
          <w:rFonts w:ascii="David" w:hAnsi="David"/>
          <w:rtl/>
        </w:rPr>
        <w:t>חומר הראיות</w:t>
      </w:r>
      <w:r>
        <w:rPr>
          <w:rFonts w:ascii="David" w:hAnsi="David" w:hint="cs"/>
          <w:rtl/>
        </w:rPr>
        <w:t xml:space="preserve"> </w:t>
      </w:r>
      <w:r w:rsidRPr="00B62CFD">
        <w:rPr>
          <w:rFonts w:ascii="David" w:hAnsi="David" w:hint="cs"/>
          <w:u w:val="single"/>
          <w:rtl/>
        </w:rPr>
        <w:t>והתרשמותו הבלתי אמצעית בדיון</w:t>
      </w:r>
      <w:r>
        <w:rPr>
          <w:rFonts w:ascii="David" w:hAnsi="David" w:hint="cs"/>
          <w:rtl/>
        </w:rPr>
        <w:t xml:space="preserve"> מהצדדים ומחקירותיהם:</w:t>
      </w:r>
    </w:p>
    <w:p w:rsidR="000D320C" w:rsidRDefault="000D320C" w:rsidP="00C15743">
      <w:pPr>
        <w:pStyle w:val="af0"/>
        <w:numPr>
          <w:ilvl w:val="0"/>
          <w:numId w:val="2"/>
        </w:numPr>
        <w:spacing w:line="360" w:lineRule="auto"/>
        <w:jc w:val="both"/>
        <w:rPr>
          <w:rFonts w:ascii="Arial" w:hAnsi="Arial"/>
        </w:rPr>
      </w:pPr>
      <w:r w:rsidRPr="005761FD">
        <w:rPr>
          <w:rFonts w:ascii="Arial" w:hAnsi="Arial" w:hint="cs"/>
          <w:b/>
          <w:bCs/>
          <w:u w:val="single"/>
          <w:rtl/>
        </w:rPr>
        <w:t>באשר לסיכויי התביעה</w:t>
      </w:r>
      <w:r>
        <w:rPr>
          <w:rFonts w:ascii="Arial" w:hAnsi="Arial" w:hint="cs"/>
          <w:rtl/>
        </w:rPr>
        <w:t xml:space="preserve"> </w:t>
      </w:r>
      <w:r>
        <w:rPr>
          <w:rFonts w:ascii="Arial" w:hAnsi="Arial"/>
          <w:rtl/>
        </w:rPr>
        <w:t>–</w:t>
      </w:r>
      <w:r>
        <w:rPr>
          <w:rFonts w:ascii="Arial" w:hAnsi="Arial" w:hint="cs"/>
          <w:rtl/>
        </w:rPr>
        <w:t xml:space="preserve"> </w:t>
      </w:r>
      <w:r w:rsidR="005761FD">
        <w:rPr>
          <w:rFonts w:ascii="Arial" w:hAnsi="Arial" w:hint="cs"/>
          <w:rtl/>
        </w:rPr>
        <w:t xml:space="preserve">על יסוד </w:t>
      </w:r>
      <w:r w:rsidRPr="005761FD">
        <w:rPr>
          <w:rFonts w:ascii="Arial" w:hAnsi="Arial" w:hint="cs"/>
          <w:u w:val="single"/>
          <w:rtl/>
        </w:rPr>
        <w:t>התרשמותו</w:t>
      </w:r>
      <w:r>
        <w:rPr>
          <w:rFonts w:ascii="Arial" w:hAnsi="Arial" w:hint="cs"/>
          <w:rtl/>
        </w:rPr>
        <w:t xml:space="preserve"> מעדות המשיבה</w:t>
      </w:r>
      <w:r w:rsidR="005761FD">
        <w:rPr>
          <w:rFonts w:ascii="Arial" w:hAnsi="Arial" w:hint="cs"/>
          <w:rtl/>
        </w:rPr>
        <w:t xml:space="preserve"> ומתשובותיה בחקירה, הגיע בימ"ש קמא למסקנה </w:t>
      </w:r>
      <w:r>
        <w:rPr>
          <w:rFonts w:ascii="Arial" w:hAnsi="Arial" w:hint="cs"/>
          <w:rtl/>
        </w:rPr>
        <w:t xml:space="preserve">כי </w:t>
      </w:r>
      <w:r w:rsidR="005761FD">
        <w:rPr>
          <w:rFonts w:ascii="Arial" w:hAnsi="Arial" w:hint="cs"/>
          <w:rtl/>
        </w:rPr>
        <w:t>לא ניתן לשלול את</w:t>
      </w:r>
      <w:r w:rsidR="00C15743">
        <w:rPr>
          <w:rFonts w:ascii="Arial" w:hAnsi="Arial" w:hint="cs"/>
          <w:rtl/>
        </w:rPr>
        <w:t xml:space="preserve"> </w:t>
      </w:r>
      <w:r w:rsidR="005761FD">
        <w:rPr>
          <w:rFonts w:ascii="Arial" w:hAnsi="Arial" w:hint="cs"/>
          <w:rtl/>
        </w:rPr>
        <w:t xml:space="preserve">טענותיה </w:t>
      </w:r>
      <w:r w:rsidR="00C15743">
        <w:rPr>
          <w:rFonts w:ascii="Arial" w:hAnsi="Arial" w:hint="cs"/>
          <w:rtl/>
        </w:rPr>
        <w:t xml:space="preserve">בתביעה </w:t>
      </w:r>
      <w:r w:rsidR="005761FD">
        <w:rPr>
          <w:rFonts w:ascii="Arial" w:hAnsi="Arial" w:hint="cs"/>
          <w:rtl/>
        </w:rPr>
        <w:t xml:space="preserve">וכי </w:t>
      </w:r>
      <w:r>
        <w:rPr>
          <w:rFonts w:ascii="Arial" w:hAnsi="Arial" w:hint="cs"/>
          <w:rtl/>
        </w:rPr>
        <w:t>אין המדובר בתביע</w:t>
      </w:r>
      <w:r w:rsidR="00EC707B">
        <w:rPr>
          <w:rFonts w:ascii="Arial" w:hAnsi="Arial" w:hint="cs"/>
          <w:rtl/>
        </w:rPr>
        <w:t>ת סרק</w:t>
      </w:r>
      <w:r>
        <w:rPr>
          <w:rFonts w:ascii="Arial" w:hAnsi="Arial" w:hint="cs"/>
          <w:rtl/>
        </w:rPr>
        <w:t xml:space="preserve"> משוללת סיכויים. </w:t>
      </w:r>
      <w:r w:rsidR="005761FD">
        <w:rPr>
          <w:rFonts w:ascii="Arial" w:hAnsi="Arial" w:hint="cs"/>
          <w:rtl/>
        </w:rPr>
        <w:t xml:space="preserve">למסקנתו זו הגיע ביהמ"ש קמא כאמור על יסוד </w:t>
      </w:r>
      <w:r w:rsidR="005761FD" w:rsidRPr="005761FD">
        <w:rPr>
          <w:rFonts w:ascii="Arial" w:hAnsi="Arial" w:hint="cs"/>
          <w:b/>
          <w:bCs/>
          <w:rtl/>
        </w:rPr>
        <w:t>התרשמות</w:t>
      </w:r>
      <w:r w:rsidR="005761FD">
        <w:rPr>
          <w:rFonts w:ascii="Arial" w:hAnsi="Arial" w:hint="cs"/>
          <w:b/>
          <w:bCs/>
          <w:rtl/>
        </w:rPr>
        <w:t>ו מהצדדים בדיון</w:t>
      </w:r>
      <w:r w:rsidR="005761FD">
        <w:rPr>
          <w:rFonts w:ascii="Arial" w:hAnsi="Arial" w:hint="cs"/>
          <w:rtl/>
        </w:rPr>
        <w:t xml:space="preserve">, בצירוף </w:t>
      </w:r>
      <w:r w:rsidRPr="005761FD">
        <w:rPr>
          <w:rFonts w:ascii="Arial" w:hAnsi="Arial" w:hint="cs"/>
          <w:b/>
          <w:bCs/>
          <w:rtl/>
        </w:rPr>
        <w:t>הודא</w:t>
      </w:r>
      <w:r w:rsidR="005761FD">
        <w:rPr>
          <w:rFonts w:ascii="Arial" w:hAnsi="Arial" w:hint="cs"/>
          <w:b/>
          <w:bCs/>
          <w:rtl/>
        </w:rPr>
        <w:t>ת המבקשת</w:t>
      </w:r>
      <w:r>
        <w:rPr>
          <w:rFonts w:ascii="Arial" w:hAnsi="Arial" w:hint="cs"/>
          <w:rtl/>
        </w:rPr>
        <w:t xml:space="preserve"> שאכן כספי המשיבה עברו לחשבון הבנק של</w:t>
      </w:r>
      <w:r w:rsidR="005761FD">
        <w:rPr>
          <w:rFonts w:ascii="Arial" w:hAnsi="Arial" w:hint="cs"/>
          <w:rtl/>
        </w:rPr>
        <w:t>ה ושל</w:t>
      </w:r>
      <w:r>
        <w:rPr>
          <w:rFonts w:ascii="Arial" w:hAnsi="Arial" w:hint="cs"/>
          <w:rtl/>
        </w:rPr>
        <w:t xml:space="preserve"> בעלה</w:t>
      </w:r>
      <w:r w:rsidR="00C15743">
        <w:rPr>
          <w:rFonts w:ascii="Arial" w:hAnsi="Arial" w:hint="cs"/>
          <w:rtl/>
        </w:rPr>
        <w:t>-</w:t>
      </w:r>
      <w:r w:rsidR="005761FD">
        <w:rPr>
          <w:rFonts w:ascii="Arial" w:hAnsi="Arial" w:hint="cs"/>
          <w:rtl/>
        </w:rPr>
        <w:t xml:space="preserve"> </w:t>
      </w:r>
      <w:r w:rsidR="00D41672">
        <w:rPr>
          <w:rFonts w:ascii="Arial" w:hAnsi="Arial" w:hint="cs"/>
          <w:rtl/>
        </w:rPr>
        <w:t xml:space="preserve">הודאה שיש בה </w:t>
      </w:r>
      <w:r w:rsidR="00C15743">
        <w:rPr>
          <w:rFonts w:ascii="Arial" w:hAnsi="Arial" w:hint="cs"/>
          <w:rtl/>
        </w:rPr>
        <w:t xml:space="preserve">עדי </w:t>
      </w:r>
      <w:r w:rsidR="00D41672">
        <w:rPr>
          <w:rFonts w:ascii="Arial" w:hAnsi="Arial" w:hint="cs"/>
          <w:rtl/>
        </w:rPr>
        <w:t>ל</w:t>
      </w:r>
      <w:r w:rsidR="003055E6">
        <w:rPr>
          <w:rFonts w:ascii="Arial" w:hAnsi="Arial" w:hint="cs"/>
          <w:rtl/>
        </w:rPr>
        <w:t>חזק</w:t>
      </w:r>
      <w:r w:rsidR="00D41672">
        <w:rPr>
          <w:rFonts w:ascii="Arial" w:hAnsi="Arial" w:hint="cs"/>
          <w:rtl/>
        </w:rPr>
        <w:t xml:space="preserve"> </w:t>
      </w:r>
      <w:r w:rsidR="003055E6">
        <w:rPr>
          <w:rFonts w:ascii="Arial" w:hAnsi="Arial" w:hint="cs"/>
          <w:rtl/>
        </w:rPr>
        <w:t>את טענות המשיבה לפי</w:t>
      </w:r>
      <w:r w:rsidR="00C15743">
        <w:rPr>
          <w:rFonts w:ascii="Arial" w:hAnsi="Arial" w:hint="cs"/>
          <w:rtl/>
        </w:rPr>
        <w:t>הן</w:t>
      </w:r>
      <w:r w:rsidR="003055E6">
        <w:rPr>
          <w:rFonts w:ascii="Arial" w:hAnsi="Arial" w:hint="cs"/>
          <w:rtl/>
        </w:rPr>
        <w:t xml:space="preserve"> המבקשת הי</w:t>
      </w:r>
      <w:r w:rsidR="00D41672">
        <w:rPr>
          <w:rFonts w:ascii="Arial" w:hAnsi="Arial" w:hint="cs"/>
          <w:rtl/>
        </w:rPr>
        <w:t>י</w:t>
      </w:r>
      <w:r w:rsidR="003055E6">
        <w:rPr>
          <w:rFonts w:ascii="Arial" w:hAnsi="Arial" w:hint="cs"/>
          <w:rtl/>
        </w:rPr>
        <w:t xml:space="preserve">תה מעורבת במשיכת כספים </w:t>
      </w:r>
      <w:r w:rsidR="00D41672">
        <w:rPr>
          <w:rFonts w:ascii="Arial" w:hAnsi="Arial" w:hint="cs"/>
          <w:rtl/>
        </w:rPr>
        <w:t xml:space="preserve">ממנה, </w:t>
      </w:r>
      <w:r w:rsidR="00D41672" w:rsidRPr="00D41672">
        <w:rPr>
          <w:rFonts w:ascii="Arial" w:hAnsi="Arial" w:hint="cs"/>
          <w:b/>
          <w:bCs/>
          <w:rtl/>
        </w:rPr>
        <w:t>כל זאת כמובן ברמת הלכאורה בלבד הנדרשת לשיקולי מתן צו עיקול זמני</w:t>
      </w:r>
      <w:r w:rsidR="00D41672" w:rsidRPr="00D41672">
        <w:rPr>
          <w:rFonts w:ascii="Arial" w:hAnsi="Arial" w:hint="cs"/>
          <w:rtl/>
        </w:rPr>
        <w:t>,</w:t>
      </w:r>
      <w:r w:rsidR="003055E6">
        <w:rPr>
          <w:rFonts w:ascii="Arial" w:hAnsi="Arial" w:hint="cs"/>
          <w:rtl/>
        </w:rPr>
        <w:t xml:space="preserve"> </w:t>
      </w:r>
      <w:r w:rsidR="00D41672">
        <w:rPr>
          <w:rFonts w:ascii="Arial" w:hAnsi="Arial" w:hint="cs"/>
          <w:rtl/>
        </w:rPr>
        <w:t xml:space="preserve">כאשר </w:t>
      </w:r>
      <w:r w:rsidR="003055E6">
        <w:rPr>
          <w:rFonts w:ascii="Arial" w:hAnsi="Arial" w:hint="cs"/>
          <w:rtl/>
        </w:rPr>
        <w:t>טענת המבקשת</w:t>
      </w:r>
      <w:r w:rsidR="00D41672">
        <w:rPr>
          <w:rFonts w:ascii="Arial" w:hAnsi="Arial" w:hint="cs"/>
          <w:rtl/>
        </w:rPr>
        <w:t xml:space="preserve"> מנגד שמדובר היה בהסדר מוסכם על המשיבה מזה כ-7 שנים, </w:t>
      </w:r>
      <w:r w:rsidR="003055E6">
        <w:rPr>
          <w:rFonts w:ascii="Arial" w:hAnsi="Arial" w:hint="cs"/>
          <w:rtl/>
        </w:rPr>
        <w:t xml:space="preserve">ראוי לה שתתברר במהלך הדיון. </w:t>
      </w:r>
    </w:p>
    <w:p w:rsidR="003055E6" w:rsidRDefault="003055E6" w:rsidP="00C96BF4">
      <w:pPr>
        <w:pStyle w:val="af0"/>
        <w:numPr>
          <w:ilvl w:val="0"/>
          <w:numId w:val="2"/>
        </w:numPr>
        <w:spacing w:line="360" w:lineRule="auto"/>
        <w:jc w:val="both"/>
        <w:rPr>
          <w:rFonts w:ascii="Arial" w:hAnsi="Arial"/>
        </w:rPr>
      </w:pPr>
      <w:r w:rsidRPr="005761FD">
        <w:rPr>
          <w:rFonts w:ascii="Arial" w:hAnsi="Arial" w:hint="cs"/>
          <w:b/>
          <w:bCs/>
          <w:u w:val="single"/>
          <w:rtl/>
        </w:rPr>
        <w:lastRenderedPageBreak/>
        <w:t>באשר למאזן הנוחות</w:t>
      </w:r>
      <w:r>
        <w:rPr>
          <w:rFonts w:ascii="Arial" w:hAnsi="Arial" w:hint="cs"/>
          <w:rtl/>
        </w:rPr>
        <w:t xml:space="preserve"> </w:t>
      </w:r>
      <w:r>
        <w:rPr>
          <w:rFonts w:ascii="Arial" w:hAnsi="Arial"/>
          <w:rtl/>
        </w:rPr>
        <w:t>–</w:t>
      </w:r>
      <w:r>
        <w:rPr>
          <w:rFonts w:ascii="Arial" w:hAnsi="Arial" w:hint="cs"/>
          <w:rtl/>
        </w:rPr>
        <w:t xml:space="preserve"> </w:t>
      </w:r>
      <w:r w:rsidR="00D41672">
        <w:rPr>
          <w:rFonts w:ascii="Arial" w:hAnsi="Arial" w:hint="cs"/>
          <w:rtl/>
        </w:rPr>
        <w:t xml:space="preserve">בימ"ש </w:t>
      </w:r>
      <w:r w:rsidR="00F64E31">
        <w:rPr>
          <w:rFonts w:ascii="Arial" w:hAnsi="Arial" w:hint="cs"/>
          <w:rtl/>
        </w:rPr>
        <w:t xml:space="preserve">קמא </w:t>
      </w:r>
      <w:r w:rsidR="00EC707B">
        <w:rPr>
          <w:rFonts w:ascii="Arial" w:hAnsi="Arial" w:hint="cs"/>
          <w:rtl/>
        </w:rPr>
        <w:t>ע</w:t>
      </w:r>
      <w:r w:rsidR="00D41672">
        <w:rPr>
          <w:rFonts w:ascii="Arial" w:hAnsi="Arial" w:hint="cs"/>
          <w:rtl/>
        </w:rPr>
        <w:t>מד על כך ש</w:t>
      </w:r>
      <w:r>
        <w:rPr>
          <w:rFonts w:ascii="Arial" w:hAnsi="Arial" w:hint="cs"/>
          <w:rtl/>
        </w:rPr>
        <w:t>בבקשתה לביטול העיקול המבקשת לא התייחסה כלל לעניין מאזן הנוחות או ליסוד ההכבדה</w:t>
      </w:r>
      <w:r w:rsidR="007D7655">
        <w:rPr>
          <w:rFonts w:ascii="Arial" w:hAnsi="Arial" w:hint="cs"/>
          <w:rtl/>
        </w:rPr>
        <w:t>, וטענותיה בדיון ו/או בסיכומיה לגבי נזקים אפשריים הועלו באופן כללי וסתמי</w:t>
      </w:r>
      <w:r w:rsidR="00C96BF4">
        <w:rPr>
          <w:rFonts w:ascii="Arial" w:hAnsi="Arial" w:hint="cs"/>
          <w:rtl/>
        </w:rPr>
        <w:t>,</w:t>
      </w:r>
      <w:r w:rsidR="007D7655">
        <w:rPr>
          <w:rFonts w:ascii="Arial" w:hAnsi="Arial" w:hint="cs"/>
          <w:rtl/>
        </w:rPr>
        <w:t xml:space="preserve"> וזאת לאור </w:t>
      </w:r>
      <w:r w:rsidR="00EC707B">
        <w:rPr>
          <w:rFonts w:ascii="Arial" w:hAnsi="Arial" w:hint="cs"/>
          <w:rtl/>
        </w:rPr>
        <w:t xml:space="preserve">הרישום המשותף של </w:t>
      </w:r>
      <w:r w:rsidR="007D7655">
        <w:rPr>
          <w:rFonts w:ascii="Arial" w:hAnsi="Arial" w:hint="cs"/>
          <w:rtl/>
        </w:rPr>
        <w:t xml:space="preserve">הזכויות </w:t>
      </w:r>
      <w:r w:rsidR="00EC707B">
        <w:rPr>
          <w:rFonts w:ascii="Arial" w:hAnsi="Arial" w:hint="cs"/>
          <w:rtl/>
        </w:rPr>
        <w:t xml:space="preserve">בדירה </w:t>
      </w:r>
      <w:r w:rsidR="007D7655">
        <w:rPr>
          <w:rFonts w:ascii="Arial" w:hAnsi="Arial" w:hint="cs"/>
          <w:rtl/>
        </w:rPr>
        <w:t>יחד עם בעלה</w:t>
      </w:r>
      <w:r w:rsidR="00C96BF4">
        <w:rPr>
          <w:rFonts w:ascii="Arial" w:hAnsi="Arial" w:hint="cs"/>
          <w:rtl/>
        </w:rPr>
        <w:t>,</w:t>
      </w:r>
      <w:r w:rsidR="007D7655">
        <w:rPr>
          <w:rFonts w:ascii="Arial" w:hAnsi="Arial" w:hint="cs"/>
          <w:rtl/>
        </w:rPr>
        <w:t xml:space="preserve"> המונע ממנה ממילא לבצע פעולות דיספוזיציה בדירה, כאשר </w:t>
      </w:r>
      <w:r>
        <w:rPr>
          <w:rFonts w:ascii="Arial" w:hAnsi="Arial" w:hint="cs"/>
          <w:rtl/>
        </w:rPr>
        <w:t xml:space="preserve">בסיכומיה טענה </w:t>
      </w:r>
      <w:r w:rsidR="007D7655">
        <w:rPr>
          <w:rFonts w:ascii="Arial" w:hAnsi="Arial" w:hint="cs"/>
          <w:rtl/>
        </w:rPr>
        <w:t xml:space="preserve">המבקשת </w:t>
      </w:r>
      <w:r>
        <w:rPr>
          <w:rFonts w:ascii="Arial" w:hAnsi="Arial" w:hint="cs"/>
          <w:rtl/>
        </w:rPr>
        <w:t>ש</w:t>
      </w:r>
      <w:r w:rsidR="007D7655">
        <w:rPr>
          <w:rFonts w:ascii="Arial" w:hAnsi="Arial" w:hint="cs"/>
          <w:rtl/>
        </w:rPr>
        <w:t>הואיל ול</w:t>
      </w:r>
      <w:r>
        <w:rPr>
          <w:rFonts w:ascii="Arial" w:hAnsi="Arial" w:hint="cs"/>
          <w:rtl/>
        </w:rPr>
        <w:t xml:space="preserve">גישתה התביעה נטולת </w:t>
      </w:r>
      <w:r w:rsidR="00D41672">
        <w:rPr>
          <w:rFonts w:ascii="Arial" w:hAnsi="Arial" w:hint="cs"/>
          <w:rtl/>
        </w:rPr>
        <w:t>כל ביסוס ו</w:t>
      </w:r>
      <w:r w:rsidR="00C96BF4">
        <w:rPr>
          <w:rFonts w:ascii="Arial" w:hAnsi="Arial" w:hint="cs"/>
          <w:rtl/>
        </w:rPr>
        <w:t>שיקול</w:t>
      </w:r>
      <w:r>
        <w:rPr>
          <w:rFonts w:ascii="Arial" w:hAnsi="Arial" w:hint="cs"/>
          <w:rtl/>
        </w:rPr>
        <w:t xml:space="preserve"> סיכויי התביעה נשלל לחלוטין</w:t>
      </w:r>
      <w:r w:rsidR="00D41672">
        <w:rPr>
          <w:rFonts w:ascii="Arial" w:hAnsi="Arial" w:hint="cs"/>
          <w:rtl/>
        </w:rPr>
        <w:t>, ממילא</w:t>
      </w:r>
      <w:r w:rsidR="00C96BF4">
        <w:rPr>
          <w:rFonts w:ascii="Arial" w:hAnsi="Arial" w:hint="cs"/>
          <w:rtl/>
        </w:rPr>
        <w:t xml:space="preserve"> אין עוד צורך בבדיקת </w:t>
      </w:r>
      <w:r>
        <w:rPr>
          <w:rFonts w:ascii="Arial" w:hAnsi="Arial" w:hint="cs"/>
          <w:rtl/>
        </w:rPr>
        <w:t xml:space="preserve">מאזן הנוחות ויסוד ההכבדה </w:t>
      </w:r>
      <w:r w:rsidR="007D7655">
        <w:rPr>
          <w:rFonts w:ascii="Arial" w:hAnsi="Arial" w:hint="cs"/>
          <w:rtl/>
        </w:rPr>
        <w:t xml:space="preserve">&gt;&gt; </w:t>
      </w:r>
      <w:r w:rsidR="00D41672">
        <w:rPr>
          <w:rFonts w:ascii="Arial" w:hAnsi="Arial" w:hint="cs"/>
          <w:rtl/>
        </w:rPr>
        <w:t>במילים אחרו</w:t>
      </w:r>
      <w:r w:rsidR="00A70FB4">
        <w:rPr>
          <w:rFonts w:ascii="Arial" w:hAnsi="Arial" w:hint="cs"/>
          <w:rtl/>
        </w:rPr>
        <w:t>ת</w:t>
      </w:r>
      <w:r w:rsidR="007D7655">
        <w:rPr>
          <w:rFonts w:ascii="Arial" w:hAnsi="Arial" w:hint="cs"/>
          <w:rtl/>
        </w:rPr>
        <w:t>:</w:t>
      </w:r>
      <w:r w:rsidR="00D41672">
        <w:rPr>
          <w:rFonts w:ascii="Arial" w:hAnsi="Arial" w:hint="cs"/>
          <w:rtl/>
        </w:rPr>
        <w:t xml:space="preserve"> המבקשת מודה ש</w:t>
      </w:r>
      <w:r w:rsidR="00A70FB4">
        <w:rPr>
          <w:rFonts w:ascii="Arial" w:hAnsi="Arial" w:hint="cs"/>
          <w:rtl/>
        </w:rPr>
        <w:t>יסוד ההכבדה כלל לא קיים (שכן ממילא הדירה רשומה במשותף על שמה ושם בעלה)</w:t>
      </w:r>
      <w:r w:rsidR="005209AE">
        <w:rPr>
          <w:rFonts w:ascii="Arial" w:hAnsi="Arial" w:hint="cs"/>
          <w:rtl/>
        </w:rPr>
        <w:t xml:space="preserve"> אלא שלטענתה אין צורך בשקילת רכיב ז</w:t>
      </w:r>
      <w:r w:rsidR="00EC707B">
        <w:rPr>
          <w:rFonts w:ascii="Arial" w:hAnsi="Arial" w:hint="cs"/>
          <w:rtl/>
        </w:rPr>
        <w:t>ה</w:t>
      </w:r>
      <w:r w:rsidR="005209AE">
        <w:rPr>
          <w:rFonts w:ascii="Arial" w:hAnsi="Arial" w:hint="cs"/>
          <w:rtl/>
        </w:rPr>
        <w:t xml:space="preserve"> לאור טענתה שרכיב סיכויי התביעה נשלל לחלוטין</w:t>
      </w:r>
      <w:r w:rsidR="00A70FB4">
        <w:rPr>
          <w:rFonts w:ascii="Arial" w:hAnsi="Arial" w:hint="cs"/>
          <w:rtl/>
        </w:rPr>
        <w:t xml:space="preserve">; </w:t>
      </w:r>
      <w:r w:rsidR="00A70FB4" w:rsidRPr="005209AE">
        <w:rPr>
          <w:rFonts w:ascii="Arial" w:hAnsi="Arial" w:hint="cs"/>
          <w:b/>
          <w:bCs/>
          <w:rtl/>
        </w:rPr>
        <w:t xml:space="preserve">אלא שכאמור ברכיב סיכויי התביעה </w:t>
      </w:r>
      <w:r w:rsidRPr="005209AE">
        <w:rPr>
          <w:rFonts w:ascii="Arial" w:hAnsi="Arial" w:hint="cs"/>
          <w:b/>
          <w:bCs/>
          <w:rtl/>
        </w:rPr>
        <w:t>בימ"ש קמא הגיע למסקנה</w:t>
      </w:r>
      <w:r w:rsidR="005209AE" w:rsidRPr="005209AE">
        <w:rPr>
          <w:rFonts w:ascii="Arial" w:hAnsi="Arial" w:hint="cs"/>
          <w:b/>
          <w:bCs/>
          <w:rtl/>
        </w:rPr>
        <w:t xml:space="preserve"> הפוכה - ש</w:t>
      </w:r>
      <w:r w:rsidR="00A70FB4" w:rsidRPr="005209AE">
        <w:rPr>
          <w:rFonts w:ascii="Arial" w:hAnsi="Arial" w:hint="cs"/>
          <w:b/>
          <w:bCs/>
          <w:rtl/>
        </w:rPr>
        <w:t xml:space="preserve">לא ניתן לומר שסיכויי התביעה </w:t>
      </w:r>
      <w:r w:rsidR="00EC707B">
        <w:rPr>
          <w:rFonts w:ascii="Arial" w:hAnsi="Arial" w:hint="cs"/>
          <w:b/>
          <w:bCs/>
          <w:rtl/>
        </w:rPr>
        <w:t>נשללים לחלוטין</w:t>
      </w:r>
      <w:r w:rsidR="00A70FB4">
        <w:rPr>
          <w:rFonts w:ascii="Arial" w:hAnsi="Arial" w:hint="cs"/>
          <w:rtl/>
        </w:rPr>
        <w:t xml:space="preserve">, ועל כן ברגע שרכיב זה קיים, אפילו במקצת, יש לשקול מנגד את שיקול ההכבדה ומאזן הנוחות ("מקבילית הכוחות"), והואיל וברכיב זה </w:t>
      </w:r>
      <w:r w:rsidR="00693283">
        <w:rPr>
          <w:rFonts w:ascii="Arial" w:hAnsi="Arial" w:hint="cs"/>
          <w:rtl/>
        </w:rPr>
        <w:t xml:space="preserve">המבקשת לא טענה </w:t>
      </w:r>
      <w:r w:rsidR="00A70FB4">
        <w:rPr>
          <w:rFonts w:ascii="Arial" w:hAnsi="Arial" w:hint="cs"/>
          <w:rtl/>
        </w:rPr>
        <w:t xml:space="preserve">כלל </w:t>
      </w:r>
      <w:r w:rsidR="005209AE">
        <w:rPr>
          <w:rFonts w:ascii="Arial" w:hAnsi="Arial" w:hint="cs"/>
          <w:rtl/>
        </w:rPr>
        <w:t>ליסוד ההכבדה</w:t>
      </w:r>
      <w:r w:rsidR="00693283">
        <w:rPr>
          <w:rFonts w:ascii="Arial" w:hAnsi="Arial" w:hint="cs"/>
          <w:rtl/>
        </w:rPr>
        <w:t xml:space="preserve">, ואכן </w:t>
      </w:r>
      <w:r w:rsidR="00A70FB4">
        <w:rPr>
          <w:rFonts w:ascii="Arial" w:hAnsi="Arial" w:hint="cs"/>
          <w:rtl/>
        </w:rPr>
        <w:t>ה</w:t>
      </w:r>
      <w:r w:rsidR="00693283">
        <w:rPr>
          <w:rFonts w:ascii="Arial" w:hAnsi="Arial" w:hint="cs"/>
          <w:rtl/>
        </w:rPr>
        <w:t>מציאות העובדתית</w:t>
      </w:r>
      <w:r w:rsidR="00A70FB4">
        <w:rPr>
          <w:rFonts w:ascii="Arial" w:hAnsi="Arial" w:hint="cs"/>
          <w:rtl/>
        </w:rPr>
        <w:t>-</w:t>
      </w:r>
      <w:r w:rsidR="00693283">
        <w:rPr>
          <w:rFonts w:ascii="Arial" w:hAnsi="Arial" w:hint="cs"/>
          <w:rtl/>
        </w:rPr>
        <w:t xml:space="preserve">משפטית </w:t>
      </w:r>
      <w:r w:rsidR="00A70FB4">
        <w:rPr>
          <w:rFonts w:ascii="Arial" w:hAnsi="Arial" w:hint="cs"/>
          <w:rtl/>
        </w:rPr>
        <w:t xml:space="preserve">הינה שממילא המבקשת </w:t>
      </w:r>
      <w:r w:rsidR="005209AE">
        <w:rPr>
          <w:rFonts w:ascii="Arial" w:hAnsi="Arial" w:hint="cs"/>
          <w:rtl/>
        </w:rPr>
        <w:t>לא</w:t>
      </w:r>
      <w:r w:rsidR="00A70FB4">
        <w:rPr>
          <w:rFonts w:ascii="Arial" w:hAnsi="Arial" w:hint="cs"/>
          <w:rtl/>
        </w:rPr>
        <w:t xml:space="preserve"> יכולה לבצע דיספוזיציה בזכויותיה בדירה המשותפת לה ולבעלה</w:t>
      </w:r>
      <w:r w:rsidR="005209AE">
        <w:rPr>
          <w:rFonts w:ascii="Arial" w:hAnsi="Arial" w:hint="cs"/>
          <w:rtl/>
        </w:rPr>
        <w:t xml:space="preserve">, </w:t>
      </w:r>
      <w:r w:rsidR="00A70FB4">
        <w:rPr>
          <w:rFonts w:ascii="Arial" w:hAnsi="Arial" w:hint="cs"/>
          <w:rtl/>
        </w:rPr>
        <w:t>בנו</w:t>
      </w:r>
      <w:r w:rsidR="0026075A">
        <w:rPr>
          <w:rFonts w:ascii="Arial" w:hAnsi="Arial" w:hint="cs"/>
          <w:rtl/>
        </w:rPr>
        <w:t xml:space="preserve">סף </w:t>
      </w:r>
      <w:r w:rsidR="00693283">
        <w:rPr>
          <w:rFonts w:ascii="Arial" w:hAnsi="Arial" w:hint="cs"/>
          <w:rtl/>
        </w:rPr>
        <w:t xml:space="preserve">המבקשת הודתה </w:t>
      </w:r>
      <w:r w:rsidR="005209AE">
        <w:rPr>
          <w:rFonts w:ascii="Arial" w:hAnsi="Arial" w:hint="cs"/>
          <w:rtl/>
        </w:rPr>
        <w:t>כאמור ש</w:t>
      </w:r>
      <w:r w:rsidR="00693283">
        <w:rPr>
          <w:rFonts w:ascii="Arial" w:hAnsi="Arial" w:hint="cs"/>
          <w:rtl/>
        </w:rPr>
        <w:t>אין לה נכסים אחרים ואין לה חסכונות ואף את משכורתה ה</w:t>
      </w:r>
      <w:r w:rsidR="00EC707B">
        <w:rPr>
          <w:rFonts w:ascii="Arial" w:hAnsi="Arial" w:hint="cs"/>
          <w:rtl/>
        </w:rPr>
        <w:t>ינה</w:t>
      </w:r>
      <w:r w:rsidR="00693283">
        <w:rPr>
          <w:rFonts w:ascii="Arial" w:hAnsi="Arial" w:hint="cs"/>
          <w:rtl/>
        </w:rPr>
        <w:t xml:space="preserve"> מקבלת במזומן, </w:t>
      </w:r>
      <w:r w:rsidR="0026075A">
        <w:rPr>
          <w:rFonts w:ascii="Arial" w:hAnsi="Arial" w:hint="cs"/>
          <w:rtl/>
        </w:rPr>
        <w:t xml:space="preserve">הרי שבנסיבות אלה אין ספק </w:t>
      </w:r>
      <w:r w:rsidR="0026075A" w:rsidRPr="005209AE">
        <w:rPr>
          <w:rFonts w:ascii="Arial" w:hAnsi="Arial" w:hint="cs"/>
          <w:b/>
          <w:bCs/>
          <w:rtl/>
        </w:rPr>
        <w:t xml:space="preserve">שמאזן הנוחות נוטה </w:t>
      </w:r>
      <w:r w:rsidR="00C96BF4" w:rsidRPr="00C96BF4">
        <w:rPr>
          <w:rFonts w:ascii="Arial" w:hAnsi="Arial" w:hint="cs"/>
          <w:b/>
          <w:bCs/>
          <w:u w:val="single"/>
          <w:rtl/>
        </w:rPr>
        <w:t>במלואו</w:t>
      </w:r>
      <w:r w:rsidR="0026075A" w:rsidRPr="005209AE">
        <w:rPr>
          <w:rFonts w:ascii="Arial" w:hAnsi="Arial" w:hint="cs"/>
          <w:b/>
          <w:bCs/>
          <w:rtl/>
        </w:rPr>
        <w:t xml:space="preserve"> לטובת המשיבה</w:t>
      </w:r>
      <w:r w:rsidR="0026075A">
        <w:rPr>
          <w:rFonts w:ascii="Arial" w:hAnsi="Arial" w:hint="cs"/>
          <w:rtl/>
        </w:rPr>
        <w:t xml:space="preserve"> שכן </w:t>
      </w:r>
      <w:r w:rsidR="00693283">
        <w:rPr>
          <w:rFonts w:ascii="Arial" w:hAnsi="Arial" w:hint="cs"/>
          <w:rtl/>
        </w:rPr>
        <w:t>אם תזכה המשיבה בתביעתה</w:t>
      </w:r>
      <w:r w:rsidR="0026075A">
        <w:rPr>
          <w:rFonts w:ascii="Arial" w:hAnsi="Arial" w:hint="cs"/>
          <w:rtl/>
        </w:rPr>
        <w:t xml:space="preserve"> מבלי שיהיה עיקול על זכויות המבקשת בדירה</w:t>
      </w:r>
      <w:r w:rsidR="00693283">
        <w:rPr>
          <w:rFonts w:ascii="Arial" w:hAnsi="Arial" w:hint="cs"/>
          <w:rtl/>
        </w:rPr>
        <w:t>, יקשה על המשיבה להיפרע מהמבקשת</w:t>
      </w:r>
      <w:r w:rsidR="00EC707B">
        <w:rPr>
          <w:rFonts w:ascii="Arial" w:hAnsi="Arial" w:hint="cs"/>
          <w:rtl/>
        </w:rPr>
        <w:t xml:space="preserve"> בהעדר נכסים אחרים</w:t>
      </w:r>
      <w:r w:rsidR="0026075A">
        <w:rPr>
          <w:rFonts w:ascii="Arial" w:hAnsi="Arial" w:hint="cs"/>
          <w:rtl/>
        </w:rPr>
        <w:t xml:space="preserve">, ומאידך המבקשת איננה ניזוקת כלל מהותרת העיקול שכן ממילא בשלב הזה </w:t>
      </w:r>
      <w:r w:rsidR="00EC707B">
        <w:rPr>
          <w:rFonts w:ascii="Arial" w:hAnsi="Arial" w:hint="cs"/>
          <w:rtl/>
        </w:rPr>
        <w:t xml:space="preserve">לא ניתן </w:t>
      </w:r>
      <w:r w:rsidR="0026075A">
        <w:rPr>
          <w:rFonts w:ascii="Arial" w:hAnsi="Arial" w:hint="cs"/>
          <w:rtl/>
        </w:rPr>
        <w:t>לבצע דיספוזיציה בזכויות</w:t>
      </w:r>
      <w:r w:rsidR="00EC707B">
        <w:rPr>
          <w:rFonts w:ascii="Arial" w:hAnsi="Arial" w:hint="cs"/>
          <w:rtl/>
        </w:rPr>
        <w:t xml:space="preserve"> </w:t>
      </w:r>
      <w:r w:rsidR="0026075A">
        <w:rPr>
          <w:rFonts w:ascii="Arial" w:hAnsi="Arial" w:hint="cs"/>
          <w:rtl/>
        </w:rPr>
        <w:t>בדירה</w:t>
      </w:r>
      <w:r w:rsidR="00693283">
        <w:rPr>
          <w:rFonts w:ascii="Arial" w:hAnsi="Arial" w:hint="cs"/>
          <w:rtl/>
        </w:rPr>
        <w:t>.</w:t>
      </w:r>
    </w:p>
    <w:p w:rsidR="00885329" w:rsidRDefault="005209AE" w:rsidP="00F64E31">
      <w:pPr>
        <w:pStyle w:val="af0"/>
        <w:numPr>
          <w:ilvl w:val="0"/>
          <w:numId w:val="2"/>
        </w:numPr>
        <w:spacing w:line="360" w:lineRule="auto"/>
        <w:jc w:val="both"/>
        <w:rPr>
          <w:rFonts w:ascii="Arial" w:hAnsi="Arial"/>
        </w:rPr>
      </w:pPr>
      <w:r w:rsidRPr="00885329">
        <w:rPr>
          <w:rFonts w:ascii="Arial" w:hAnsi="Arial" w:hint="cs"/>
          <w:b/>
          <w:bCs/>
          <w:u w:val="single"/>
          <w:rtl/>
        </w:rPr>
        <w:t>באשר ליסוד המידתיות</w:t>
      </w:r>
      <w:r w:rsidR="00885329" w:rsidRPr="00885329">
        <w:rPr>
          <w:rFonts w:ascii="Arial" w:hAnsi="Arial" w:hint="cs"/>
          <w:rtl/>
        </w:rPr>
        <w:t xml:space="preserve"> </w:t>
      </w:r>
      <w:r w:rsidR="00885329" w:rsidRPr="00885329">
        <w:rPr>
          <w:rFonts w:ascii="Arial" w:hAnsi="Arial"/>
          <w:rtl/>
        </w:rPr>
        <w:t>–</w:t>
      </w:r>
      <w:r w:rsidR="00885329" w:rsidRPr="00885329">
        <w:rPr>
          <w:rFonts w:ascii="Arial" w:hAnsi="Arial" w:hint="cs"/>
          <w:rtl/>
        </w:rPr>
        <w:t xml:space="preserve"> בימ"ש </w:t>
      </w:r>
      <w:r w:rsidR="00F64E31">
        <w:rPr>
          <w:rFonts w:ascii="Arial" w:hAnsi="Arial" w:hint="cs"/>
          <w:rtl/>
        </w:rPr>
        <w:t xml:space="preserve">קמא </w:t>
      </w:r>
      <w:r w:rsidR="00885329">
        <w:rPr>
          <w:rFonts w:ascii="Arial" w:hAnsi="Arial" w:hint="cs"/>
          <w:rtl/>
        </w:rPr>
        <w:t xml:space="preserve">קובע </w:t>
      </w:r>
      <w:r w:rsidR="00885329" w:rsidRPr="00885329">
        <w:rPr>
          <w:rFonts w:ascii="Arial" w:hAnsi="Arial" w:hint="cs"/>
          <w:rtl/>
        </w:rPr>
        <w:t>שבנסיבות העניין הותרת העיקול על כנו הינה מידתית שכן מדובר בעיקול ברישום בלבד</w:t>
      </w:r>
      <w:r w:rsidR="00885329">
        <w:rPr>
          <w:rFonts w:ascii="Arial" w:hAnsi="Arial" w:hint="cs"/>
          <w:rtl/>
        </w:rPr>
        <w:t xml:space="preserve"> ו</w:t>
      </w:r>
      <w:r w:rsidR="00F64E31">
        <w:rPr>
          <w:rFonts w:ascii="Arial" w:hAnsi="Arial" w:hint="cs"/>
          <w:rtl/>
        </w:rPr>
        <w:t>ממילא</w:t>
      </w:r>
      <w:r w:rsidR="00885329">
        <w:rPr>
          <w:rFonts w:ascii="Arial" w:hAnsi="Arial" w:hint="cs"/>
          <w:rtl/>
        </w:rPr>
        <w:t xml:space="preserve"> מתנהל </w:t>
      </w:r>
      <w:r w:rsidR="00885329" w:rsidRPr="00885329">
        <w:rPr>
          <w:rFonts w:ascii="Arial" w:hAnsi="Arial" w:hint="cs"/>
          <w:rtl/>
        </w:rPr>
        <w:t xml:space="preserve">הליך של פירוק שיתוף </w:t>
      </w:r>
      <w:r w:rsidR="00885329">
        <w:rPr>
          <w:rFonts w:ascii="Arial" w:hAnsi="Arial" w:hint="cs"/>
          <w:rtl/>
        </w:rPr>
        <w:t>ב</w:t>
      </w:r>
      <w:r w:rsidR="00885329" w:rsidRPr="00885329">
        <w:rPr>
          <w:rFonts w:ascii="Arial" w:hAnsi="Arial" w:hint="cs"/>
          <w:rtl/>
        </w:rPr>
        <w:t xml:space="preserve">דירה </w:t>
      </w:r>
      <w:r w:rsidR="00885329">
        <w:rPr>
          <w:rFonts w:ascii="Arial" w:hAnsi="Arial" w:hint="cs"/>
          <w:rtl/>
        </w:rPr>
        <w:t xml:space="preserve">כך שממילא </w:t>
      </w:r>
      <w:r w:rsidR="00885329" w:rsidRPr="00885329">
        <w:rPr>
          <w:rFonts w:ascii="Arial" w:hAnsi="Arial" w:hint="cs"/>
          <w:rtl/>
        </w:rPr>
        <w:t>שלא ניתן לבצע דיספוזיציה בזכויות בדירה</w:t>
      </w:r>
      <w:r w:rsidR="00885329">
        <w:rPr>
          <w:rFonts w:ascii="Arial" w:hAnsi="Arial" w:hint="cs"/>
          <w:rtl/>
        </w:rPr>
        <w:t>.</w:t>
      </w:r>
    </w:p>
    <w:p w:rsidR="00693283" w:rsidRDefault="0026075A" w:rsidP="00C96BF4">
      <w:pPr>
        <w:pStyle w:val="af0"/>
        <w:spacing w:line="360" w:lineRule="auto"/>
        <w:jc w:val="both"/>
        <w:rPr>
          <w:rFonts w:ascii="Arial" w:hAnsi="Arial"/>
        </w:rPr>
      </w:pPr>
      <w:r>
        <w:rPr>
          <w:rFonts w:ascii="Arial" w:hAnsi="Arial" w:hint="cs"/>
          <w:rtl/>
        </w:rPr>
        <w:t xml:space="preserve">לאחר </w:t>
      </w:r>
      <w:r w:rsidR="00885329">
        <w:rPr>
          <w:rFonts w:ascii="Arial" w:hAnsi="Arial" w:hint="cs"/>
          <w:rtl/>
        </w:rPr>
        <w:t xml:space="preserve">כל הפירוט לעיל </w:t>
      </w:r>
      <w:r>
        <w:rPr>
          <w:rFonts w:ascii="Arial" w:hAnsi="Arial" w:hint="cs"/>
          <w:rtl/>
        </w:rPr>
        <w:t xml:space="preserve">בהחלטה, </w:t>
      </w:r>
      <w:r w:rsidR="00693283">
        <w:rPr>
          <w:rFonts w:ascii="Arial" w:hAnsi="Arial" w:hint="cs"/>
          <w:rtl/>
        </w:rPr>
        <w:t xml:space="preserve">מציין בימ"ש קמא ששקל את </w:t>
      </w:r>
      <w:r>
        <w:rPr>
          <w:rFonts w:ascii="Arial" w:hAnsi="Arial" w:hint="cs"/>
          <w:rtl/>
        </w:rPr>
        <w:t xml:space="preserve">כל </w:t>
      </w:r>
      <w:r w:rsidR="00693283">
        <w:rPr>
          <w:rFonts w:ascii="Arial" w:hAnsi="Arial" w:hint="cs"/>
          <w:rtl/>
        </w:rPr>
        <w:t>טענות הצדדים</w:t>
      </w:r>
      <w:r>
        <w:rPr>
          <w:rFonts w:ascii="Arial" w:hAnsi="Arial" w:hint="cs"/>
          <w:rtl/>
        </w:rPr>
        <w:t xml:space="preserve"> מזה ומזה</w:t>
      </w:r>
      <w:r w:rsidR="00693283">
        <w:rPr>
          <w:rFonts w:ascii="Arial" w:hAnsi="Arial" w:hint="cs"/>
          <w:rtl/>
        </w:rPr>
        <w:t xml:space="preserve">, ובזהירות הראויה לשלב זה ומבלי לקבוע מסמרות בשאלת </w:t>
      </w:r>
      <w:r>
        <w:rPr>
          <w:rFonts w:ascii="Arial" w:hAnsi="Arial" w:hint="cs"/>
          <w:rtl/>
        </w:rPr>
        <w:t xml:space="preserve">סיכויי </w:t>
      </w:r>
      <w:r w:rsidR="00693283">
        <w:rPr>
          <w:rFonts w:ascii="Arial" w:hAnsi="Arial" w:hint="cs"/>
          <w:rtl/>
        </w:rPr>
        <w:t xml:space="preserve">התביעה, </w:t>
      </w:r>
      <w:r w:rsidRPr="007D7655">
        <w:rPr>
          <w:rFonts w:ascii="Arial" w:hAnsi="Arial" w:hint="cs"/>
          <w:b/>
          <w:bCs/>
          <w:rtl/>
        </w:rPr>
        <w:t xml:space="preserve">ברם הואיל והמשיבה עמדה בסף </w:t>
      </w:r>
      <w:r w:rsidR="00F64E31">
        <w:rPr>
          <w:rFonts w:ascii="Arial" w:hAnsi="Arial" w:hint="cs"/>
          <w:b/>
          <w:bCs/>
          <w:rtl/>
        </w:rPr>
        <w:t>הנדרש לקיומן של ראיות לכאורה</w:t>
      </w:r>
      <w:r w:rsidRPr="007D7655">
        <w:rPr>
          <w:rFonts w:ascii="Arial" w:hAnsi="Arial" w:hint="cs"/>
          <w:b/>
          <w:bCs/>
          <w:rtl/>
        </w:rPr>
        <w:t>, ומאידך למבקשת אין כל הכ</w:t>
      </w:r>
      <w:r w:rsidR="007D7655">
        <w:rPr>
          <w:rFonts w:ascii="Arial" w:hAnsi="Arial" w:hint="cs"/>
          <w:b/>
          <w:bCs/>
          <w:rtl/>
        </w:rPr>
        <w:t>ב</w:t>
      </w:r>
      <w:r w:rsidRPr="007D7655">
        <w:rPr>
          <w:rFonts w:ascii="Arial" w:hAnsi="Arial" w:hint="cs"/>
          <w:b/>
          <w:bCs/>
          <w:rtl/>
        </w:rPr>
        <w:t xml:space="preserve">דה מהותרת </w:t>
      </w:r>
      <w:r w:rsidR="007D7655" w:rsidRPr="007D7655">
        <w:rPr>
          <w:rFonts w:ascii="Arial" w:hAnsi="Arial" w:hint="cs"/>
          <w:b/>
          <w:bCs/>
          <w:rtl/>
        </w:rPr>
        <w:t>העיקו</w:t>
      </w:r>
      <w:r w:rsidR="007D7655">
        <w:rPr>
          <w:rFonts w:ascii="Arial" w:hAnsi="Arial" w:hint="cs"/>
          <w:b/>
          <w:bCs/>
          <w:rtl/>
        </w:rPr>
        <w:t>ל על כנו</w:t>
      </w:r>
      <w:r w:rsidR="007D7655">
        <w:rPr>
          <w:rFonts w:ascii="Arial" w:hAnsi="Arial" w:hint="cs"/>
          <w:rtl/>
        </w:rPr>
        <w:t xml:space="preserve">, </w:t>
      </w:r>
      <w:r w:rsidR="00885329">
        <w:rPr>
          <w:rFonts w:ascii="Arial" w:hAnsi="Arial" w:hint="cs"/>
          <w:rtl/>
        </w:rPr>
        <w:t>והואיל ולאור</w:t>
      </w:r>
      <w:r w:rsidR="0066782A">
        <w:rPr>
          <w:rFonts w:ascii="Arial" w:hAnsi="Arial" w:hint="cs"/>
          <w:rtl/>
        </w:rPr>
        <w:t xml:space="preserve"> </w:t>
      </w:r>
      <w:r w:rsidR="0066782A" w:rsidRPr="00885329">
        <w:rPr>
          <w:rFonts w:ascii="Arial" w:hAnsi="Arial" w:hint="cs"/>
          <w:u w:val="single"/>
          <w:rtl/>
        </w:rPr>
        <w:t>התרשמותו</w:t>
      </w:r>
      <w:r w:rsidR="0066782A">
        <w:rPr>
          <w:rFonts w:ascii="Arial" w:hAnsi="Arial" w:hint="cs"/>
          <w:rtl/>
        </w:rPr>
        <w:t xml:space="preserve"> מהצדדים </w:t>
      </w:r>
      <w:r w:rsidR="00885329">
        <w:rPr>
          <w:rFonts w:ascii="Arial" w:hAnsi="Arial" w:hint="cs"/>
          <w:rtl/>
        </w:rPr>
        <w:t>ל</w:t>
      </w:r>
      <w:r w:rsidR="0066782A">
        <w:rPr>
          <w:rFonts w:ascii="Arial" w:hAnsi="Arial" w:hint="cs"/>
          <w:rtl/>
        </w:rPr>
        <w:t xml:space="preserve">א מצא פגם בתום ליבה של המשיבה ברמה המצדיקה את ביטול הצו, גם לא שיהוי שהיה בו כדי לפגוע בזכויות המבקשת, על כן </w:t>
      </w:r>
      <w:r w:rsidR="00885329">
        <w:rPr>
          <w:rFonts w:ascii="Arial" w:hAnsi="Arial" w:hint="cs"/>
          <w:rtl/>
        </w:rPr>
        <w:t>ו</w:t>
      </w:r>
      <w:r w:rsidR="0066782A">
        <w:rPr>
          <w:rFonts w:ascii="Arial" w:hAnsi="Arial" w:hint="cs"/>
          <w:rtl/>
        </w:rPr>
        <w:t xml:space="preserve">לאחר ששוכנע כי קיימת עילת תביעה </w:t>
      </w:r>
      <w:r w:rsidR="00F64E31">
        <w:rPr>
          <w:rFonts w:ascii="Arial" w:hAnsi="Arial" w:hint="cs"/>
          <w:rtl/>
        </w:rPr>
        <w:t xml:space="preserve">לכאורה </w:t>
      </w:r>
      <w:r w:rsidR="0066782A">
        <w:rPr>
          <w:rFonts w:ascii="Arial" w:hAnsi="Arial" w:hint="cs"/>
          <w:rtl/>
        </w:rPr>
        <w:t xml:space="preserve">הדורשת בירור במסגרת ההליך העיקרי, ולאור מאזן הנוחות הנוטה </w:t>
      </w:r>
      <w:r w:rsidR="00C96BF4" w:rsidRPr="00C96BF4">
        <w:rPr>
          <w:rFonts w:ascii="Arial" w:hAnsi="Arial" w:hint="cs"/>
          <w:u w:val="single"/>
          <w:rtl/>
        </w:rPr>
        <w:t>במלואו</w:t>
      </w:r>
      <w:r w:rsidR="0066782A">
        <w:rPr>
          <w:rFonts w:ascii="Arial" w:hAnsi="Arial" w:hint="cs"/>
          <w:rtl/>
        </w:rPr>
        <w:t xml:space="preserve"> לטובת המשיבה, הגיע בימ"ש קמא למסקנה כי יש להותיר את צו העיקול הזמני על כנו. </w:t>
      </w:r>
    </w:p>
    <w:p w:rsidR="0066782A" w:rsidRDefault="0066782A" w:rsidP="0066782A">
      <w:pPr>
        <w:pStyle w:val="af0"/>
        <w:spacing w:line="360" w:lineRule="auto"/>
        <w:jc w:val="both"/>
        <w:rPr>
          <w:rFonts w:ascii="Arial" w:hAnsi="Arial"/>
          <w:rtl/>
        </w:rPr>
      </w:pPr>
    </w:p>
    <w:p w:rsidR="008B02E4" w:rsidRPr="008B02E4" w:rsidRDefault="00885329" w:rsidP="00C96BF4">
      <w:pPr>
        <w:pStyle w:val="af0"/>
        <w:numPr>
          <w:ilvl w:val="0"/>
          <w:numId w:val="1"/>
        </w:numPr>
        <w:spacing w:line="360" w:lineRule="auto"/>
        <w:jc w:val="both"/>
        <w:rPr>
          <w:rFonts w:ascii="David" w:hAnsi="David"/>
        </w:rPr>
      </w:pPr>
      <w:r w:rsidRPr="00911939">
        <w:rPr>
          <w:rFonts w:ascii="Arial" w:hAnsi="Arial" w:hint="cs"/>
          <w:rtl/>
        </w:rPr>
        <w:t xml:space="preserve">תמצית </w:t>
      </w:r>
      <w:r w:rsidR="0066782A" w:rsidRPr="00911939">
        <w:rPr>
          <w:rFonts w:ascii="Arial" w:hAnsi="Arial" w:hint="cs"/>
          <w:rtl/>
        </w:rPr>
        <w:t xml:space="preserve">בקשת רשות הערעור </w:t>
      </w:r>
      <w:r w:rsidRPr="00911939">
        <w:rPr>
          <w:rFonts w:ascii="Arial" w:hAnsi="Arial" w:hint="cs"/>
          <w:rtl/>
        </w:rPr>
        <w:t xml:space="preserve">של </w:t>
      </w:r>
      <w:r w:rsidR="0066782A" w:rsidRPr="00911939">
        <w:rPr>
          <w:rFonts w:ascii="Arial" w:hAnsi="Arial" w:hint="cs"/>
          <w:rtl/>
        </w:rPr>
        <w:t xml:space="preserve">המבקשת </w:t>
      </w:r>
      <w:r w:rsidRPr="00911939">
        <w:rPr>
          <w:rFonts w:ascii="Arial" w:hAnsi="Arial" w:hint="cs"/>
          <w:rtl/>
        </w:rPr>
        <w:t xml:space="preserve">מתמקדת </w:t>
      </w:r>
      <w:r w:rsidR="00F976CA" w:rsidRPr="00911939">
        <w:rPr>
          <w:rFonts w:ascii="Arial" w:hAnsi="Arial" w:hint="cs"/>
          <w:rtl/>
        </w:rPr>
        <w:t>ברכיב הראיות לכאורה ו</w:t>
      </w:r>
      <w:r w:rsidRPr="00911939">
        <w:rPr>
          <w:rFonts w:ascii="Arial" w:hAnsi="Arial" w:hint="cs"/>
          <w:rtl/>
        </w:rPr>
        <w:t xml:space="preserve">בהשגות </w:t>
      </w:r>
      <w:r w:rsidR="0066782A" w:rsidRPr="00911939">
        <w:rPr>
          <w:rFonts w:ascii="Arial" w:hAnsi="Arial" w:hint="cs"/>
          <w:rtl/>
        </w:rPr>
        <w:t xml:space="preserve">על </w:t>
      </w:r>
      <w:r w:rsidRPr="00911939">
        <w:rPr>
          <w:rFonts w:ascii="Arial" w:hAnsi="Arial" w:hint="cs"/>
          <w:rtl/>
        </w:rPr>
        <w:t xml:space="preserve">מסקנתו של בימ"ש קמא כי </w:t>
      </w:r>
      <w:r w:rsidR="0066782A" w:rsidRPr="00911939">
        <w:rPr>
          <w:rFonts w:ascii="Arial" w:hAnsi="Arial" w:hint="cs"/>
          <w:rtl/>
        </w:rPr>
        <w:t xml:space="preserve">התביעה איננה משוללת סיכויים, ובמסגרת השגתה זו יורדת המבקשת </w:t>
      </w:r>
      <w:r w:rsidR="008B02E4">
        <w:rPr>
          <w:rFonts w:ascii="Arial" w:hAnsi="Arial" w:hint="cs"/>
          <w:rtl/>
        </w:rPr>
        <w:t xml:space="preserve">בערעורה </w:t>
      </w:r>
      <w:r w:rsidR="0066782A" w:rsidRPr="00911939">
        <w:rPr>
          <w:rFonts w:ascii="Arial" w:hAnsi="Arial" w:hint="cs"/>
          <w:rtl/>
        </w:rPr>
        <w:t>לרזולוציית העובדות</w:t>
      </w:r>
      <w:r w:rsidR="00F976CA" w:rsidRPr="00911939">
        <w:rPr>
          <w:rFonts w:ascii="Arial" w:hAnsi="Arial" w:hint="cs"/>
          <w:rtl/>
        </w:rPr>
        <w:t xml:space="preserve"> והחקירות, </w:t>
      </w:r>
      <w:r w:rsidR="00CC7CEC" w:rsidRPr="00911939">
        <w:rPr>
          <w:rFonts w:ascii="Arial" w:hAnsi="Arial" w:hint="cs"/>
          <w:rtl/>
        </w:rPr>
        <w:t>מפנה לשאלות ותשובות בחקירת המשיבה, מנסה לאוש</w:t>
      </w:r>
      <w:r w:rsidR="00CC7CEC" w:rsidRPr="00911939">
        <w:rPr>
          <w:rFonts w:ascii="Arial" w:hAnsi="Arial" w:hint="eastAsia"/>
          <w:rtl/>
        </w:rPr>
        <w:t>ש</w:t>
      </w:r>
      <w:r w:rsidR="00CC7CEC" w:rsidRPr="00911939">
        <w:rPr>
          <w:rFonts w:ascii="Arial" w:hAnsi="Arial" w:hint="cs"/>
          <w:rtl/>
        </w:rPr>
        <w:t xml:space="preserve"> את גירסתה כי לא היא ז</w:t>
      </w:r>
      <w:r w:rsidR="008B02E4">
        <w:rPr>
          <w:rFonts w:ascii="Arial" w:hAnsi="Arial" w:hint="cs"/>
          <w:rtl/>
        </w:rPr>
        <w:t xml:space="preserve">ו </w:t>
      </w:r>
      <w:r w:rsidR="00CC7CEC" w:rsidRPr="00911939">
        <w:rPr>
          <w:rFonts w:ascii="Arial" w:hAnsi="Arial" w:hint="cs"/>
          <w:rtl/>
        </w:rPr>
        <w:t>שמשכה כספים מחשבונות המשיבה</w:t>
      </w:r>
      <w:r w:rsidR="00F976CA" w:rsidRPr="00911939">
        <w:rPr>
          <w:rFonts w:ascii="Arial" w:hAnsi="Arial" w:hint="cs"/>
          <w:rtl/>
        </w:rPr>
        <w:t xml:space="preserve"> </w:t>
      </w:r>
      <w:r w:rsidR="00F976CA" w:rsidRPr="00911939">
        <w:rPr>
          <w:rFonts w:ascii="Arial" w:hAnsi="Arial" w:hint="cs"/>
          <w:rtl/>
        </w:rPr>
        <w:lastRenderedPageBreak/>
        <w:t>ועוד;</w:t>
      </w:r>
      <w:r w:rsidR="00CC7CEC" w:rsidRPr="00911939">
        <w:rPr>
          <w:rFonts w:ascii="Arial" w:hAnsi="Arial" w:hint="cs"/>
          <w:rtl/>
        </w:rPr>
        <w:t xml:space="preserve"> אלא שדומה כי המבקשת נ</w:t>
      </w:r>
      <w:r w:rsidR="00F976CA" w:rsidRPr="00911939">
        <w:rPr>
          <w:rFonts w:ascii="Arial" w:hAnsi="Arial" w:hint="cs"/>
          <w:rtl/>
        </w:rPr>
        <w:t>תפשה</w:t>
      </w:r>
      <w:r w:rsidR="00CC7CEC" w:rsidRPr="00911939">
        <w:rPr>
          <w:rFonts w:ascii="Arial" w:hAnsi="Arial" w:hint="cs"/>
          <w:rtl/>
        </w:rPr>
        <w:t xml:space="preserve"> לטעות בהבנת ההלכה הפסוקה בדבר </w:t>
      </w:r>
      <w:r w:rsidR="00C96BF4">
        <w:rPr>
          <w:rFonts w:ascii="Arial" w:hAnsi="Arial" w:hint="cs"/>
          <w:rtl/>
        </w:rPr>
        <w:t xml:space="preserve">שיקול </w:t>
      </w:r>
      <w:r w:rsidR="008B02E4">
        <w:rPr>
          <w:rFonts w:ascii="Arial" w:hAnsi="Arial" w:hint="cs"/>
          <w:rtl/>
        </w:rPr>
        <w:t>זה של סיכויי התביעה</w:t>
      </w:r>
      <w:r w:rsidR="00C96BF4">
        <w:rPr>
          <w:rFonts w:ascii="Arial" w:hAnsi="Arial" w:hint="cs"/>
          <w:rtl/>
        </w:rPr>
        <w:t>,</w:t>
      </w:r>
      <w:r w:rsidR="008B02E4">
        <w:rPr>
          <w:rFonts w:ascii="Arial" w:hAnsi="Arial" w:hint="cs"/>
          <w:rtl/>
        </w:rPr>
        <w:t xml:space="preserve"> כמו גם באופן שק</w:t>
      </w:r>
      <w:r w:rsidR="00F976CA" w:rsidRPr="00911939">
        <w:rPr>
          <w:rFonts w:ascii="Arial" w:hAnsi="Arial" w:hint="cs"/>
          <w:rtl/>
        </w:rPr>
        <w:t>ילת</w:t>
      </w:r>
      <w:r w:rsidR="00C96BF4">
        <w:rPr>
          <w:rFonts w:ascii="Arial" w:hAnsi="Arial" w:hint="cs"/>
          <w:rtl/>
        </w:rPr>
        <w:t>ו אל מול מאזן הנוחות</w:t>
      </w:r>
      <w:r w:rsidR="00F976CA" w:rsidRPr="00911939">
        <w:rPr>
          <w:rFonts w:ascii="Arial" w:hAnsi="Arial" w:hint="cs"/>
          <w:rtl/>
        </w:rPr>
        <w:t xml:space="preserve"> במסגרת מקבילית הכוחות:</w:t>
      </w:r>
    </w:p>
    <w:p w:rsidR="00305E28" w:rsidRDefault="00F976CA" w:rsidP="00563D04">
      <w:pPr>
        <w:pStyle w:val="af0"/>
        <w:spacing w:line="360" w:lineRule="auto"/>
        <w:jc w:val="both"/>
        <w:rPr>
          <w:rFonts w:ascii="David" w:hAnsi="David"/>
        </w:rPr>
      </w:pPr>
      <w:r w:rsidRPr="00911939">
        <w:rPr>
          <w:rFonts w:ascii="Arial" w:hAnsi="Arial" w:hint="cs"/>
          <w:rtl/>
        </w:rPr>
        <w:t>ה</w:t>
      </w:r>
      <w:r w:rsidR="00CC7CEC" w:rsidRPr="00911939">
        <w:rPr>
          <w:rFonts w:ascii="Arial" w:hAnsi="Arial" w:hint="cs"/>
          <w:rtl/>
        </w:rPr>
        <w:t>הלכה הפסוקה</w:t>
      </w:r>
      <w:r w:rsidRPr="00911939">
        <w:rPr>
          <w:rFonts w:ascii="Arial" w:hAnsi="Arial" w:hint="cs"/>
          <w:rtl/>
        </w:rPr>
        <w:t xml:space="preserve">, כמו גם תקנה 95(ב) לתקסד"א, </w:t>
      </w:r>
      <w:r w:rsidR="00CC7CEC" w:rsidRPr="00911939">
        <w:rPr>
          <w:rFonts w:ascii="Arial" w:hAnsi="Arial" w:hint="cs"/>
          <w:rtl/>
        </w:rPr>
        <w:t xml:space="preserve">איננה דורשת כי </w:t>
      </w:r>
      <w:r w:rsidRPr="00911939">
        <w:rPr>
          <w:rFonts w:ascii="Arial" w:hAnsi="Arial" w:hint="cs"/>
          <w:rtl/>
        </w:rPr>
        <w:t xml:space="preserve">על </w:t>
      </w:r>
      <w:r w:rsidR="00911939">
        <w:rPr>
          <w:rFonts w:ascii="Arial" w:hAnsi="Arial" w:hint="cs"/>
          <w:rtl/>
        </w:rPr>
        <w:t>מבקש הסעד הזמני/העיקול</w:t>
      </w:r>
      <w:r w:rsidRPr="00911939">
        <w:rPr>
          <w:rFonts w:ascii="Arial" w:hAnsi="Arial" w:hint="cs"/>
          <w:rtl/>
        </w:rPr>
        <w:t xml:space="preserve"> </w:t>
      </w:r>
      <w:r w:rsidRPr="008B02E4">
        <w:rPr>
          <w:rFonts w:asciiTheme="minorBidi" w:hAnsiTheme="minorBidi" w:cstheme="minorBidi"/>
          <w:spacing w:val="20"/>
          <w:sz w:val="22"/>
          <w:szCs w:val="22"/>
          <w:rtl/>
        </w:rPr>
        <w:t>לבסס</w:t>
      </w:r>
      <w:r w:rsidR="00911939" w:rsidRPr="008B02E4">
        <w:rPr>
          <w:rFonts w:asciiTheme="minorBidi" w:hAnsiTheme="minorBidi" w:cstheme="minorBidi"/>
          <w:spacing w:val="20"/>
          <w:sz w:val="22"/>
          <w:szCs w:val="22"/>
          <w:rtl/>
        </w:rPr>
        <w:t xml:space="preserve"> באופן סביר ומשכנע</w:t>
      </w:r>
      <w:r w:rsidRPr="00911939">
        <w:rPr>
          <w:rFonts w:ascii="Arial" w:hAnsi="Arial" w:hint="cs"/>
          <w:rtl/>
        </w:rPr>
        <w:t xml:space="preserve"> את עילת </w:t>
      </w:r>
      <w:r w:rsidR="00911939" w:rsidRPr="00911939">
        <w:rPr>
          <w:rFonts w:ascii="Arial" w:hAnsi="Arial" w:hint="cs"/>
          <w:rtl/>
        </w:rPr>
        <w:t xml:space="preserve">התביעה אלא </w:t>
      </w:r>
      <w:r w:rsidR="00911939">
        <w:rPr>
          <w:rFonts w:ascii="David" w:hAnsi="David" w:hint="cs"/>
          <w:color w:val="000000"/>
          <w:shd w:val="clear" w:color="auto" w:fill="FFFFFF"/>
          <w:rtl/>
        </w:rPr>
        <w:t>"</w:t>
      </w:r>
      <w:r w:rsidR="00E533B7" w:rsidRPr="00305E28">
        <w:rPr>
          <w:rFonts w:ascii="Aharoni" w:hAnsi="Aharoni" w:cs="Aharoni"/>
          <w:color w:val="000000"/>
          <w:shd w:val="clear" w:color="auto" w:fill="FFFFFF"/>
          <w:rtl/>
        </w:rPr>
        <w:t xml:space="preserve">די בכך שהתביעה איננה בגדר </w:t>
      </w:r>
      <w:r w:rsidR="00E533B7" w:rsidRPr="00563D04">
        <w:rPr>
          <w:rFonts w:ascii="Aharoni" w:hAnsi="Aharoni" w:cs="Aharoni"/>
          <w:color w:val="000000"/>
          <w:u w:val="single"/>
          <w:shd w:val="clear" w:color="auto" w:fill="FFFFFF"/>
          <w:rtl/>
        </w:rPr>
        <w:t>תביעת סרק</w:t>
      </w:r>
      <w:r w:rsidR="00E533B7" w:rsidRPr="00305E28">
        <w:rPr>
          <w:rFonts w:ascii="Aharoni" w:hAnsi="Aharoni" w:cs="Aharoni"/>
          <w:color w:val="000000"/>
          <w:shd w:val="clear" w:color="auto" w:fill="FFFFFF"/>
          <w:rtl/>
        </w:rPr>
        <w:t xml:space="preserve"> והיא מעוררת שאלות ממשיות הראויות לדיון ולהכרעה</w:t>
      </w:r>
      <w:r w:rsidR="00305E28" w:rsidRPr="00305E28">
        <w:rPr>
          <w:rFonts w:ascii="Aharoni" w:hAnsi="Aharoni" w:cs="Aharoni"/>
          <w:color w:val="000000"/>
          <w:shd w:val="clear" w:color="auto" w:fill="FFFFFF"/>
          <w:rtl/>
        </w:rPr>
        <w:t>"</w:t>
      </w:r>
      <w:r w:rsidR="00E533B7" w:rsidRPr="00911939">
        <w:rPr>
          <w:rFonts w:ascii="David" w:hAnsi="David"/>
          <w:color w:val="000000"/>
          <w:shd w:val="clear" w:color="auto" w:fill="FFFFFF"/>
          <w:rtl/>
        </w:rPr>
        <w:t xml:space="preserve"> (</w:t>
      </w:r>
      <w:hyperlink r:id="rId16" w:history="1">
        <w:r w:rsidR="00305E28" w:rsidRPr="00305E28">
          <w:rPr>
            <w:rStyle w:val="Hyperlink"/>
            <w:rFonts w:ascii="David" w:hAnsi="David"/>
            <w:rtl/>
          </w:rPr>
          <w:t>רע"א 260/19 </w:t>
        </w:r>
        <w:r w:rsidR="00305E28" w:rsidRPr="00305E28">
          <w:rPr>
            <w:rStyle w:val="Hyperlink"/>
            <w:rFonts w:ascii="David" w:hAnsi="David"/>
            <w:b/>
            <w:bCs/>
            <w:rtl/>
          </w:rPr>
          <w:t>יורם כהן נ' כונס הנכסים</w:t>
        </w:r>
        <w:r w:rsidR="00305E28" w:rsidRPr="00305E28">
          <w:rPr>
            <w:rStyle w:val="Hyperlink"/>
            <w:rFonts w:ascii="David" w:hAnsi="David"/>
            <w:rtl/>
          </w:rPr>
          <w:t> (נבו 28.2.19)‏</w:t>
        </w:r>
      </w:hyperlink>
      <w:r w:rsidR="00305E28" w:rsidRPr="00305E28">
        <w:rPr>
          <w:rFonts w:ascii="David" w:hAnsi="David"/>
          <w:color w:val="000000"/>
          <w:rtl/>
        </w:rPr>
        <w:t>‏</w:t>
      </w:r>
      <w:r w:rsidR="00305E28">
        <w:rPr>
          <w:rFonts w:ascii="David" w:hAnsi="David" w:hint="cs"/>
          <w:color w:val="000000"/>
          <w:rtl/>
        </w:rPr>
        <w:t>;</w:t>
      </w:r>
      <w:r w:rsidR="00E533B7" w:rsidRPr="00911939">
        <w:rPr>
          <w:rFonts w:ascii="David" w:hAnsi="David"/>
          <w:color w:val="000000"/>
          <w:shd w:val="clear" w:color="auto" w:fill="FFFFFF"/>
        </w:rPr>
        <w:t> </w:t>
      </w:r>
      <w:hyperlink r:id="rId17" w:tgtFrame="blank" w:history="1">
        <w:r w:rsidR="00E533B7" w:rsidRPr="00563D04">
          <w:rPr>
            <w:rStyle w:val="Hyperlink"/>
            <w:rFonts w:ascii="David" w:hAnsi="David"/>
            <w:b/>
            <w:bCs/>
            <w:shd w:val="clear" w:color="auto" w:fill="FFFFFF"/>
            <w:rtl/>
          </w:rPr>
          <w:t>רע"א 7139/96 טריגוב נ' "טפחות" בנק למשכנתאות לישראל בע"מ</w:t>
        </w:r>
        <w:r w:rsidR="00305E28">
          <w:rPr>
            <w:rStyle w:val="Hyperlink"/>
            <w:rFonts w:ascii="David" w:hAnsi="David" w:hint="cs"/>
            <w:shd w:val="clear" w:color="auto" w:fill="FFFFFF"/>
            <w:rtl/>
          </w:rPr>
          <w:t xml:space="preserve"> (נבו 2.4.97)</w:t>
        </w:r>
      </w:hyperlink>
      <w:r w:rsidR="00305E28">
        <w:rPr>
          <w:rFonts w:ascii="David" w:hAnsi="David" w:hint="cs"/>
          <w:color w:val="000000"/>
          <w:shd w:val="clear" w:color="auto" w:fill="FFFFFF"/>
          <w:rtl/>
        </w:rPr>
        <w:t>;</w:t>
      </w:r>
      <w:r w:rsidR="00E533B7" w:rsidRPr="00911939">
        <w:rPr>
          <w:rFonts w:ascii="David" w:hAnsi="David"/>
          <w:color w:val="000000"/>
          <w:shd w:val="clear" w:color="auto" w:fill="FFFFFF"/>
        </w:rPr>
        <w:t xml:space="preserve"> </w:t>
      </w:r>
      <w:hyperlink r:id="rId18" w:tgtFrame="blank" w:history="1">
        <w:r w:rsidR="00563D04">
          <w:rPr>
            <w:rStyle w:val="Hyperlink"/>
            <w:rFonts w:ascii="David" w:hAnsi="David" w:hint="cs"/>
            <w:b/>
            <w:bCs/>
            <w:shd w:val="clear" w:color="auto" w:fill="FFFFFF"/>
            <w:rtl/>
          </w:rPr>
          <w:t>אורי גורן</w:t>
        </w:r>
        <w:r w:rsidR="00305E28" w:rsidRPr="00305E28">
          <w:rPr>
            <w:rStyle w:val="Hyperlink"/>
            <w:rFonts w:ascii="David" w:hAnsi="David" w:hint="cs"/>
            <w:b/>
            <w:bCs/>
            <w:shd w:val="clear" w:color="auto" w:fill="FFFFFF"/>
            <w:rtl/>
          </w:rPr>
          <w:t>,</w:t>
        </w:r>
        <w:r w:rsidR="00E533B7" w:rsidRPr="00305E28">
          <w:rPr>
            <w:rStyle w:val="Hyperlink"/>
            <w:rFonts w:ascii="David" w:hAnsi="David"/>
            <w:b/>
            <w:bCs/>
            <w:shd w:val="clear" w:color="auto" w:fill="FFFFFF"/>
            <w:rtl/>
          </w:rPr>
          <w:t xml:space="preserve"> סוגיות בסדר דין אזרח</w:t>
        </w:r>
        <w:r w:rsidR="00305E28">
          <w:rPr>
            <w:rStyle w:val="Hyperlink"/>
            <w:rFonts w:ascii="David" w:hAnsi="David" w:hint="cs"/>
            <w:b/>
            <w:bCs/>
            <w:shd w:val="clear" w:color="auto" w:fill="FFFFFF"/>
            <w:rtl/>
          </w:rPr>
          <w:t>י</w:t>
        </w:r>
      </w:hyperlink>
      <w:r w:rsidR="00305E28">
        <w:rPr>
          <w:rFonts w:ascii="David" w:hAnsi="David" w:hint="cs"/>
          <w:color w:val="000000"/>
          <w:shd w:val="clear" w:color="auto" w:fill="FFFFFF"/>
          <w:rtl/>
        </w:rPr>
        <w:t xml:space="preserve"> (מהדורה 12, 2015) עמ' 863</w:t>
      </w:r>
      <w:r w:rsidR="00305E28">
        <w:rPr>
          <w:rFonts w:ascii="David" w:hAnsi="David" w:hint="cs"/>
          <w:rtl/>
        </w:rPr>
        <w:t>).</w:t>
      </w:r>
    </w:p>
    <w:p w:rsidR="00CC7CEC" w:rsidRDefault="00CC7CEC" w:rsidP="00C96BF4">
      <w:pPr>
        <w:pStyle w:val="af0"/>
        <w:spacing w:line="360" w:lineRule="auto"/>
        <w:jc w:val="both"/>
        <w:rPr>
          <w:rFonts w:ascii="Arial" w:hAnsi="Arial"/>
        </w:rPr>
      </w:pPr>
      <w:r>
        <w:rPr>
          <w:rFonts w:ascii="Arial" w:hAnsi="Arial" w:hint="cs"/>
          <w:rtl/>
        </w:rPr>
        <w:t xml:space="preserve">בעניינינו התקיים דיון, במהלכו נחקרו הצדדים באריכות רבה כפי שעולה מהפרוטוקול ובימ"ש קמא מבסס את </w:t>
      </w:r>
      <w:r w:rsidR="005E3332">
        <w:rPr>
          <w:rFonts w:ascii="Arial" w:hAnsi="Arial" w:hint="cs"/>
          <w:rtl/>
        </w:rPr>
        <w:t xml:space="preserve">מסקנותיו </w:t>
      </w:r>
      <w:r w:rsidR="00C96BF4">
        <w:rPr>
          <w:rFonts w:ascii="Arial" w:hAnsi="Arial" w:hint="cs"/>
          <w:rtl/>
        </w:rPr>
        <w:t>כי אין המדובר בתביעת סרק</w:t>
      </w:r>
      <w:r w:rsidR="00397BAD">
        <w:rPr>
          <w:rFonts w:ascii="Arial" w:hAnsi="Arial" w:hint="cs"/>
          <w:rtl/>
        </w:rPr>
        <w:t xml:space="preserve"> </w:t>
      </w:r>
      <w:r>
        <w:rPr>
          <w:rFonts w:ascii="Arial" w:hAnsi="Arial" w:hint="cs"/>
          <w:rtl/>
        </w:rPr>
        <w:t>בין היתר על</w:t>
      </w:r>
      <w:r w:rsidR="005E3332">
        <w:rPr>
          <w:rFonts w:ascii="Arial" w:hAnsi="Arial" w:hint="cs"/>
          <w:rtl/>
        </w:rPr>
        <w:t xml:space="preserve"> יסוד</w:t>
      </w:r>
      <w:r>
        <w:rPr>
          <w:rFonts w:ascii="Arial" w:hAnsi="Arial" w:hint="cs"/>
          <w:rtl/>
        </w:rPr>
        <w:t xml:space="preserve"> </w:t>
      </w:r>
      <w:r>
        <w:rPr>
          <w:rFonts w:ascii="Arial" w:hAnsi="Arial" w:hint="cs"/>
          <w:u w:val="single"/>
          <w:rtl/>
        </w:rPr>
        <w:t>התרשמות</w:t>
      </w:r>
      <w:r w:rsidR="00397BAD">
        <w:rPr>
          <w:rFonts w:ascii="Arial" w:hAnsi="Arial" w:hint="cs"/>
          <w:u w:val="single"/>
          <w:rtl/>
        </w:rPr>
        <w:t>ו בדיון</w:t>
      </w:r>
      <w:r>
        <w:rPr>
          <w:rFonts w:ascii="Arial" w:hAnsi="Arial" w:hint="cs"/>
          <w:u w:val="single"/>
          <w:rtl/>
        </w:rPr>
        <w:t xml:space="preserve"> </w:t>
      </w:r>
      <w:r>
        <w:rPr>
          <w:rFonts w:ascii="Arial" w:hAnsi="Arial" w:hint="cs"/>
          <w:rtl/>
        </w:rPr>
        <w:t xml:space="preserve">מהצדדים וכן על </w:t>
      </w:r>
      <w:r w:rsidRPr="00397BAD">
        <w:rPr>
          <w:rFonts w:ascii="Arial" w:hAnsi="Arial" w:hint="cs"/>
          <w:u w:val="single"/>
          <w:rtl/>
        </w:rPr>
        <w:t>ראשית הראיה</w:t>
      </w:r>
      <w:r>
        <w:rPr>
          <w:rFonts w:ascii="Arial" w:hAnsi="Arial" w:hint="cs"/>
          <w:rtl/>
        </w:rPr>
        <w:t xml:space="preserve"> </w:t>
      </w:r>
      <w:r w:rsidR="005E3332">
        <w:rPr>
          <w:rFonts w:ascii="Arial" w:hAnsi="Arial" w:hint="cs"/>
          <w:rtl/>
        </w:rPr>
        <w:t xml:space="preserve">של </w:t>
      </w:r>
      <w:r>
        <w:rPr>
          <w:rFonts w:ascii="Arial" w:hAnsi="Arial" w:hint="cs"/>
          <w:rtl/>
        </w:rPr>
        <w:t xml:space="preserve">הודאת המבקשת כי אכן הועברו כספים מחשבון המשיבה לחשבון המשותף שלה ושל בעלה, כאשר את טענתה הנגדית של המבקשת שמדובר בהסדר מוסכם יש לברר במסגרת ההליך העיקרי. </w:t>
      </w:r>
    </w:p>
    <w:p w:rsidR="00CC7CEC" w:rsidRPr="00CC7CEC" w:rsidRDefault="00CC7CEC" w:rsidP="00CC7CEC">
      <w:pPr>
        <w:pStyle w:val="af0"/>
        <w:rPr>
          <w:rFonts w:ascii="Arial" w:hAnsi="Arial"/>
          <w:rtl/>
        </w:rPr>
      </w:pPr>
    </w:p>
    <w:p w:rsidR="0066782A" w:rsidRDefault="00CC7CEC" w:rsidP="00563D04">
      <w:pPr>
        <w:pStyle w:val="af0"/>
        <w:numPr>
          <w:ilvl w:val="0"/>
          <w:numId w:val="1"/>
        </w:numPr>
        <w:spacing w:line="360" w:lineRule="auto"/>
        <w:jc w:val="both"/>
        <w:rPr>
          <w:rFonts w:ascii="Arial" w:hAnsi="Arial"/>
        </w:rPr>
      </w:pPr>
      <w:r>
        <w:rPr>
          <w:rFonts w:ascii="Arial" w:hAnsi="Arial" w:hint="cs"/>
          <w:rtl/>
        </w:rPr>
        <w:t xml:space="preserve">מנגד, המבקשת </w:t>
      </w:r>
      <w:r w:rsidR="005E3332">
        <w:rPr>
          <w:rFonts w:ascii="Arial" w:hAnsi="Arial" w:hint="cs"/>
          <w:rtl/>
        </w:rPr>
        <w:t xml:space="preserve">בערעורה </w:t>
      </w:r>
      <w:r>
        <w:rPr>
          <w:rFonts w:ascii="Arial" w:hAnsi="Arial" w:hint="cs"/>
          <w:rtl/>
        </w:rPr>
        <w:t xml:space="preserve">לא </w:t>
      </w:r>
      <w:r w:rsidR="005E3332">
        <w:rPr>
          <w:rFonts w:ascii="Arial" w:hAnsi="Arial" w:hint="cs"/>
          <w:rtl/>
        </w:rPr>
        <w:t>משיגה ו</w:t>
      </w:r>
      <w:r w:rsidR="00563D04">
        <w:rPr>
          <w:rFonts w:ascii="Arial" w:hAnsi="Arial" w:hint="cs"/>
          <w:rtl/>
        </w:rPr>
        <w:t xml:space="preserve">לא </w:t>
      </w:r>
      <w:r>
        <w:rPr>
          <w:rFonts w:ascii="Arial" w:hAnsi="Arial" w:hint="cs"/>
          <w:rtl/>
        </w:rPr>
        <w:t>מתייחסת כלל ל</w:t>
      </w:r>
      <w:r w:rsidR="005E3332">
        <w:rPr>
          <w:rFonts w:ascii="Arial" w:hAnsi="Arial" w:hint="cs"/>
          <w:rtl/>
        </w:rPr>
        <w:t xml:space="preserve">מסקנת בימ"ש קמא בדבר </w:t>
      </w:r>
      <w:r w:rsidR="00563D04">
        <w:rPr>
          <w:rFonts w:ascii="Arial" w:hAnsi="Arial" w:hint="cs"/>
          <w:rtl/>
        </w:rPr>
        <w:t xml:space="preserve">          </w:t>
      </w:r>
      <w:r w:rsidR="005E3332">
        <w:rPr>
          <w:rFonts w:ascii="Arial" w:hAnsi="Arial" w:hint="cs"/>
          <w:rtl/>
        </w:rPr>
        <w:t>אי-ההכבדה עליה כלל ו</w:t>
      </w:r>
      <w:r>
        <w:rPr>
          <w:rFonts w:ascii="Arial" w:hAnsi="Arial" w:hint="cs"/>
          <w:rtl/>
        </w:rPr>
        <w:t>מאזן הנוחות</w:t>
      </w:r>
      <w:r w:rsidR="005E3332">
        <w:rPr>
          <w:rFonts w:ascii="Arial" w:hAnsi="Arial" w:hint="cs"/>
          <w:rtl/>
        </w:rPr>
        <w:t xml:space="preserve"> הנוטה באופן מובהק לטובת המשיב</w:t>
      </w:r>
      <w:r w:rsidR="00563D04">
        <w:rPr>
          <w:rFonts w:ascii="Arial" w:hAnsi="Arial" w:hint="cs"/>
          <w:rtl/>
        </w:rPr>
        <w:t>ה</w:t>
      </w:r>
      <w:r w:rsidR="005E3332">
        <w:rPr>
          <w:rFonts w:ascii="Arial" w:hAnsi="Arial" w:hint="cs"/>
          <w:rtl/>
        </w:rPr>
        <w:t xml:space="preserve"> </w:t>
      </w:r>
      <w:r>
        <w:rPr>
          <w:rFonts w:ascii="Arial" w:hAnsi="Arial" w:hint="cs"/>
          <w:rtl/>
        </w:rPr>
        <w:t xml:space="preserve">ולמעשה </w:t>
      </w:r>
      <w:r w:rsidR="003E7B46" w:rsidRPr="003E7B46">
        <w:rPr>
          <w:rFonts w:ascii="Arial" w:hAnsi="Arial" w:hint="cs"/>
          <w:u w:val="single"/>
          <w:rtl/>
        </w:rPr>
        <w:t xml:space="preserve">המבקשת </w:t>
      </w:r>
      <w:r w:rsidRPr="003E7B46">
        <w:rPr>
          <w:rFonts w:ascii="Arial" w:hAnsi="Arial" w:hint="cs"/>
          <w:u w:val="single"/>
          <w:rtl/>
        </w:rPr>
        <w:t xml:space="preserve">מודה כי לא </w:t>
      </w:r>
      <w:r w:rsidR="005E3332" w:rsidRPr="003E7B46">
        <w:rPr>
          <w:rFonts w:ascii="Arial" w:hAnsi="Arial" w:hint="cs"/>
          <w:u w:val="single"/>
          <w:rtl/>
        </w:rPr>
        <w:t>נ</w:t>
      </w:r>
      <w:r w:rsidRPr="003E7B46">
        <w:rPr>
          <w:rFonts w:ascii="Arial" w:hAnsi="Arial" w:hint="cs"/>
          <w:u w:val="single"/>
          <w:rtl/>
        </w:rPr>
        <w:t xml:space="preserve">גרם לה </w:t>
      </w:r>
      <w:r w:rsidR="005E3332" w:rsidRPr="003E7B46">
        <w:rPr>
          <w:rFonts w:ascii="Arial" w:hAnsi="Arial" w:hint="cs"/>
          <w:u w:val="single"/>
          <w:rtl/>
        </w:rPr>
        <w:t xml:space="preserve">כל </w:t>
      </w:r>
      <w:r w:rsidRPr="003E7B46">
        <w:rPr>
          <w:rFonts w:ascii="Arial" w:hAnsi="Arial" w:hint="cs"/>
          <w:u w:val="single"/>
          <w:rtl/>
        </w:rPr>
        <w:t>נזק מהותרת צו העיקול על כנו</w:t>
      </w:r>
      <w:r>
        <w:rPr>
          <w:rFonts w:ascii="Arial" w:hAnsi="Arial" w:hint="cs"/>
          <w:rtl/>
        </w:rPr>
        <w:t xml:space="preserve">, וזאת בין היתר לאור העובדה שממילא לא ניתן לעשות דיספוזיציה בזכויות בדירה </w:t>
      </w:r>
      <w:r w:rsidR="005E3332">
        <w:rPr>
          <w:rFonts w:ascii="Arial" w:hAnsi="Arial" w:hint="cs"/>
          <w:rtl/>
        </w:rPr>
        <w:t>המשותפת לה ולבעלה ואף קיים הליך של פירוק שיתוף בזכויות.</w:t>
      </w:r>
      <w:r w:rsidR="000662D7">
        <w:rPr>
          <w:rFonts w:ascii="Arial" w:hAnsi="Arial" w:hint="cs"/>
          <w:rtl/>
        </w:rPr>
        <w:t xml:space="preserve"> </w:t>
      </w:r>
    </w:p>
    <w:p w:rsidR="00397BAD" w:rsidRDefault="00397BAD" w:rsidP="000662D7">
      <w:pPr>
        <w:spacing w:line="360" w:lineRule="auto"/>
        <w:ind w:left="720"/>
        <w:jc w:val="both"/>
        <w:rPr>
          <w:rFonts w:ascii="Arial" w:hAnsi="Arial"/>
          <w:rtl/>
        </w:rPr>
      </w:pPr>
    </w:p>
    <w:p w:rsidR="00FE51FB" w:rsidRPr="00FE51FB" w:rsidRDefault="000662D7" w:rsidP="001D6BFA">
      <w:pPr>
        <w:pStyle w:val="af0"/>
        <w:numPr>
          <w:ilvl w:val="0"/>
          <w:numId w:val="1"/>
        </w:numPr>
        <w:spacing w:line="360" w:lineRule="auto"/>
        <w:jc w:val="both"/>
        <w:rPr>
          <w:rFonts w:ascii="David" w:hAnsi="David"/>
        </w:rPr>
      </w:pPr>
      <w:r w:rsidRPr="00FE51FB">
        <w:rPr>
          <w:rFonts w:ascii="Arial" w:hAnsi="Arial" w:hint="cs"/>
          <w:b/>
          <w:bCs/>
          <w:rtl/>
        </w:rPr>
        <w:t xml:space="preserve">כאשר מאזן הנוחות נוטה </w:t>
      </w:r>
      <w:r w:rsidR="001D6BFA" w:rsidRPr="001D6BFA">
        <w:rPr>
          <w:rFonts w:ascii="Arial" w:hAnsi="Arial" w:hint="cs"/>
          <w:b/>
          <w:bCs/>
          <w:u w:val="single"/>
          <w:rtl/>
        </w:rPr>
        <w:t>במלואו</w:t>
      </w:r>
      <w:r w:rsidRPr="00FE51FB">
        <w:rPr>
          <w:rFonts w:ascii="Arial" w:hAnsi="Arial" w:hint="cs"/>
          <w:b/>
          <w:bCs/>
          <w:rtl/>
        </w:rPr>
        <w:t xml:space="preserve"> לטובת מטיל העיקול</w:t>
      </w:r>
      <w:r w:rsidR="003E7B46" w:rsidRPr="00FE51FB">
        <w:rPr>
          <w:rFonts w:ascii="Arial" w:hAnsi="Arial" w:hint="cs"/>
          <w:b/>
          <w:bCs/>
          <w:rtl/>
        </w:rPr>
        <w:t>,</w:t>
      </w:r>
      <w:r w:rsidRPr="00FE51FB">
        <w:rPr>
          <w:rFonts w:ascii="Arial" w:hAnsi="Arial" w:hint="cs"/>
          <w:b/>
          <w:bCs/>
          <w:rtl/>
        </w:rPr>
        <w:t xml:space="preserve"> ומנגד העיקול </w:t>
      </w:r>
      <w:r w:rsidRPr="001D6BFA">
        <w:rPr>
          <w:rFonts w:ascii="Arial" w:hAnsi="Arial" w:hint="cs"/>
          <w:b/>
          <w:bCs/>
          <w:u w:val="single"/>
          <w:rtl/>
        </w:rPr>
        <w:t>אינו מכביד כלל</w:t>
      </w:r>
      <w:r w:rsidRPr="00FE51FB">
        <w:rPr>
          <w:rFonts w:ascii="Arial" w:hAnsi="Arial" w:hint="cs"/>
          <w:b/>
          <w:bCs/>
          <w:rtl/>
        </w:rPr>
        <w:t xml:space="preserve"> על </w:t>
      </w:r>
      <w:r w:rsidR="001D6BFA">
        <w:rPr>
          <w:rFonts w:ascii="Arial" w:hAnsi="Arial" w:hint="cs"/>
          <w:b/>
          <w:bCs/>
          <w:rtl/>
        </w:rPr>
        <w:t>המעוקל</w:t>
      </w:r>
      <w:r w:rsidRPr="00FE51FB">
        <w:rPr>
          <w:rFonts w:ascii="Arial" w:hAnsi="Arial" w:hint="cs"/>
          <w:rtl/>
        </w:rPr>
        <w:t xml:space="preserve">, </w:t>
      </w:r>
      <w:r w:rsidRPr="00FE51FB">
        <w:rPr>
          <w:rFonts w:ascii="Arial" w:hAnsi="Arial" w:hint="cs"/>
          <w:b/>
          <w:bCs/>
          <w:u w:val="single"/>
          <w:rtl/>
        </w:rPr>
        <w:t xml:space="preserve">הרי שבמקבילית הכוחות יש להקל </w:t>
      </w:r>
      <w:r w:rsidR="005E3332" w:rsidRPr="00FE51FB">
        <w:rPr>
          <w:rFonts w:ascii="Arial" w:hAnsi="Arial" w:hint="cs"/>
          <w:b/>
          <w:bCs/>
          <w:u w:val="single"/>
          <w:rtl/>
        </w:rPr>
        <w:t xml:space="preserve">מנגד </w:t>
      </w:r>
      <w:r w:rsidRPr="00FE51FB">
        <w:rPr>
          <w:rFonts w:ascii="Arial" w:hAnsi="Arial" w:hint="cs"/>
          <w:b/>
          <w:bCs/>
          <w:u w:val="single"/>
          <w:rtl/>
        </w:rPr>
        <w:t>על הסף הנדרש ברכיב סיכויי התביעה</w:t>
      </w:r>
      <w:r w:rsidRPr="00FE51FB">
        <w:rPr>
          <w:rFonts w:ascii="Arial" w:hAnsi="Arial" w:hint="cs"/>
          <w:rtl/>
        </w:rPr>
        <w:t xml:space="preserve"> </w:t>
      </w:r>
      <w:r w:rsidR="003E7B46" w:rsidRPr="00FE51FB">
        <w:rPr>
          <w:rFonts w:ascii="Arial" w:hAnsi="Arial" w:hint="cs"/>
          <w:rtl/>
        </w:rPr>
        <w:t xml:space="preserve">- </w:t>
      </w:r>
      <w:r w:rsidR="003E7B46" w:rsidRPr="00FE51FB">
        <w:rPr>
          <w:rFonts w:asciiTheme="majorBidi" w:hAnsiTheme="majorBidi" w:cstheme="majorBidi"/>
          <w:spacing w:val="20"/>
          <w:rtl/>
        </w:rPr>
        <w:t>זו בדיוק משמעותו של המושג "מקבילית הכוחות"</w:t>
      </w:r>
      <w:r w:rsidR="003E7B46" w:rsidRPr="00FE51FB">
        <w:rPr>
          <w:rFonts w:ascii="Arial" w:hAnsi="Arial" w:hint="cs"/>
          <w:rtl/>
        </w:rPr>
        <w:t xml:space="preserve">: כאשר </w:t>
      </w:r>
      <w:r w:rsidR="001D6BFA">
        <w:rPr>
          <w:rFonts w:ascii="Arial" w:hAnsi="Arial" w:hint="cs"/>
          <w:rtl/>
        </w:rPr>
        <w:t>ה</w:t>
      </w:r>
      <w:r w:rsidR="003E7B46" w:rsidRPr="00FE51FB">
        <w:rPr>
          <w:rFonts w:ascii="Arial" w:hAnsi="Arial" w:hint="cs"/>
          <w:rtl/>
        </w:rPr>
        <w:t xml:space="preserve">רכיב </w:t>
      </w:r>
      <w:r w:rsidR="001D6BFA">
        <w:rPr>
          <w:rFonts w:ascii="Arial" w:hAnsi="Arial" w:hint="cs"/>
          <w:rtl/>
        </w:rPr>
        <w:t>ה</w:t>
      </w:r>
      <w:r w:rsidR="003E7B46" w:rsidRPr="00FE51FB">
        <w:rPr>
          <w:rFonts w:ascii="Arial" w:hAnsi="Arial" w:hint="cs"/>
          <w:rtl/>
        </w:rPr>
        <w:t>אחד</w:t>
      </w:r>
      <w:r w:rsidR="001D6BFA">
        <w:rPr>
          <w:rFonts w:ascii="Arial" w:hAnsi="Arial" w:hint="cs"/>
          <w:rtl/>
        </w:rPr>
        <w:t xml:space="preserve"> לא רק נוטה באופן מובהק אלא</w:t>
      </w:r>
      <w:r w:rsidR="003E7B46" w:rsidRPr="00FE51FB">
        <w:rPr>
          <w:rFonts w:ascii="Arial" w:hAnsi="Arial" w:hint="cs"/>
          <w:rtl/>
        </w:rPr>
        <w:t xml:space="preserve"> קיים </w:t>
      </w:r>
      <w:r w:rsidR="001D6BFA" w:rsidRPr="001D6BFA">
        <w:rPr>
          <w:rFonts w:ascii="Arial" w:hAnsi="Arial" w:hint="cs"/>
          <w:u w:val="single"/>
          <w:rtl/>
        </w:rPr>
        <w:t>במלואו</w:t>
      </w:r>
      <w:r w:rsidR="003E7B46" w:rsidRPr="00FE51FB">
        <w:rPr>
          <w:rFonts w:ascii="Arial" w:hAnsi="Arial" w:hint="cs"/>
          <w:rtl/>
        </w:rPr>
        <w:t xml:space="preserve">, </w:t>
      </w:r>
      <w:r w:rsidR="003E7B46" w:rsidRPr="00FE51FB">
        <w:rPr>
          <w:rFonts w:ascii="Arial" w:hAnsi="Arial" w:hint="cs"/>
          <w:b/>
          <w:bCs/>
          <w:rtl/>
        </w:rPr>
        <w:t xml:space="preserve">הרי </w:t>
      </w:r>
      <w:r w:rsidR="003E7B46" w:rsidRPr="00FE51FB">
        <w:rPr>
          <w:rFonts w:ascii="Arial" w:hAnsi="Arial" w:hint="cs"/>
          <w:b/>
          <w:bCs/>
          <w:u w:val="single"/>
          <w:rtl/>
        </w:rPr>
        <w:t>שמלוא קומתו</w:t>
      </w:r>
      <w:r w:rsidR="003E7B46" w:rsidRPr="00FE51FB">
        <w:rPr>
          <w:rFonts w:ascii="Arial" w:hAnsi="Arial" w:hint="cs"/>
          <w:b/>
          <w:bCs/>
          <w:rtl/>
        </w:rPr>
        <w:t xml:space="preserve"> של הרכיב האחד גורר ממילא </w:t>
      </w:r>
      <w:r w:rsidR="003E7B46" w:rsidRPr="00FE51FB">
        <w:rPr>
          <w:rFonts w:ascii="Arial" w:hAnsi="Arial" w:hint="cs"/>
          <w:b/>
          <w:bCs/>
          <w:u w:val="single"/>
          <w:rtl/>
        </w:rPr>
        <w:t>"נמיכות קומה"</w:t>
      </w:r>
      <w:r w:rsidR="003E7B46" w:rsidRPr="00FE51FB">
        <w:rPr>
          <w:rFonts w:ascii="Arial" w:hAnsi="Arial" w:hint="cs"/>
          <w:b/>
          <w:bCs/>
          <w:rtl/>
        </w:rPr>
        <w:t xml:space="preserve"> של הרכיב השני,</w:t>
      </w:r>
      <w:r w:rsidR="003E7B46" w:rsidRPr="00FE51FB">
        <w:rPr>
          <w:rFonts w:ascii="Arial" w:hAnsi="Arial" w:hint="cs"/>
          <w:rtl/>
        </w:rPr>
        <w:t xml:space="preserve"> בפרט שמלכתחילה הסף הנדרש ברכיב השני-סיכויי התביעה הינו נמוך ממ</w:t>
      </w:r>
      <w:r w:rsidR="00E8337E" w:rsidRPr="00FE51FB">
        <w:rPr>
          <w:rFonts w:ascii="Arial" w:hAnsi="Arial" w:hint="cs"/>
          <w:rtl/>
        </w:rPr>
        <w:t>ילא: "</w:t>
      </w:r>
      <w:r w:rsidR="00E8337E" w:rsidRPr="00FE51FB">
        <w:rPr>
          <w:rFonts w:ascii="Aharoni" w:hAnsi="Aharoni" w:cs="Aharoni"/>
          <w:color w:val="000000"/>
          <w:shd w:val="clear" w:color="auto" w:fill="FFFFFF"/>
          <w:rtl/>
        </w:rPr>
        <w:t xml:space="preserve">די בכך שהתביעה איננה בגדר </w:t>
      </w:r>
      <w:r w:rsidR="00E8337E" w:rsidRPr="00FE51FB">
        <w:rPr>
          <w:rFonts w:ascii="Aharoni" w:hAnsi="Aharoni" w:cs="Aharoni"/>
          <w:color w:val="000000"/>
          <w:u w:val="single"/>
          <w:shd w:val="clear" w:color="auto" w:fill="FFFFFF"/>
          <w:rtl/>
        </w:rPr>
        <w:t>תביעת סרק</w:t>
      </w:r>
      <w:r w:rsidR="00E8337E" w:rsidRPr="00FE51FB">
        <w:rPr>
          <w:rFonts w:ascii="Arial" w:hAnsi="Arial" w:hint="cs"/>
          <w:b/>
          <w:bCs/>
          <w:rtl/>
        </w:rPr>
        <w:t>"</w:t>
      </w:r>
      <w:r w:rsidR="00E8337E" w:rsidRPr="00FE51FB">
        <w:rPr>
          <w:rFonts w:ascii="Arial" w:hAnsi="Arial" w:hint="cs"/>
          <w:rtl/>
        </w:rPr>
        <w:t xml:space="preserve">; </w:t>
      </w:r>
      <w:r w:rsidR="00FE51FB" w:rsidRPr="00FE51FB">
        <w:rPr>
          <w:rFonts w:ascii="David" w:hAnsi="David" w:hint="cs"/>
          <w:rtl/>
        </w:rPr>
        <w:t>ו</w:t>
      </w:r>
      <w:r w:rsidR="001D6BFA">
        <w:rPr>
          <w:rFonts w:ascii="David" w:hAnsi="David" w:hint="cs"/>
          <w:rtl/>
        </w:rPr>
        <w:t>כ</w:t>
      </w:r>
      <w:r w:rsidR="00FE51FB" w:rsidRPr="00FE51FB">
        <w:rPr>
          <w:rFonts w:ascii="David" w:hAnsi="David" w:hint="cs"/>
          <w:rtl/>
        </w:rPr>
        <w:t xml:space="preserve">דברי ביהמ"ש העליון </w:t>
      </w:r>
      <w:r w:rsidR="00FE51FB" w:rsidRPr="00AB767B">
        <w:rPr>
          <w:rFonts w:ascii="David" w:hAnsi="David"/>
          <w:rtl/>
        </w:rPr>
        <w:t>ב-</w:t>
      </w:r>
      <w:hyperlink r:id="rId19" w:history="1">
        <w:r w:rsidR="00FE51FB" w:rsidRPr="00AB767B">
          <w:rPr>
            <w:rStyle w:val="Hyperlink"/>
            <w:rFonts w:ascii="David" w:hAnsi="David"/>
            <w:rtl/>
          </w:rPr>
          <w:t>רע"א 2806/18 </w:t>
        </w:r>
        <w:r w:rsidR="00FE51FB" w:rsidRPr="00AB767B">
          <w:rPr>
            <w:rStyle w:val="Hyperlink"/>
            <w:rFonts w:ascii="David" w:hAnsi="David"/>
            <w:b/>
            <w:bCs/>
            <w:rtl/>
          </w:rPr>
          <w:t>דב יששכר יקטר נ' צבי אורטנר</w:t>
        </w:r>
        <w:r w:rsidR="00FE51FB" w:rsidRPr="00AB767B">
          <w:rPr>
            <w:rStyle w:val="Hyperlink"/>
            <w:rFonts w:ascii="David" w:hAnsi="David"/>
            <w:rtl/>
          </w:rPr>
          <w:t> (נבו 06.06.2018)‏</w:t>
        </w:r>
      </w:hyperlink>
      <w:r w:rsidR="00FE51FB" w:rsidRPr="00AB767B">
        <w:rPr>
          <w:rFonts w:ascii="David" w:hAnsi="David"/>
          <w:color w:val="000000"/>
          <w:u w:val="single"/>
          <w:rtl/>
        </w:rPr>
        <w:t>‏</w:t>
      </w:r>
      <w:r w:rsidR="00AB767B" w:rsidRPr="00AB767B">
        <w:rPr>
          <w:rFonts w:ascii="David" w:hAnsi="David" w:hint="cs"/>
          <w:color w:val="000000"/>
          <w:u w:val="single"/>
          <w:rtl/>
        </w:rPr>
        <w:t xml:space="preserve"> סע' 10</w:t>
      </w:r>
      <w:r w:rsidR="00FE51FB" w:rsidRPr="00AB767B">
        <w:rPr>
          <w:rFonts w:ascii="David" w:hAnsi="David"/>
          <w:color w:val="000000"/>
          <w:rtl/>
        </w:rPr>
        <w:t xml:space="preserve">: </w:t>
      </w:r>
      <w:r w:rsidR="00FE51FB" w:rsidRPr="001D6BFA">
        <w:rPr>
          <w:rFonts w:ascii="Aharoni" w:hAnsi="Aharoni" w:cs="Aharoni"/>
          <w:color w:val="000000"/>
          <w:rtl/>
        </w:rPr>
        <w:t>"כידוע, בבוא בית המשפט להכריע בבקשה לסעד זמני, עליו לאזן בין שני שיקולים עיקריים</w:t>
      </w:r>
      <w:r w:rsidR="00FE51FB" w:rsidRPr="00FE51FB">
        <w:rPr>
          <w:rFonts w:ascii="Aharoni" w:hAnsi="Aharoni" w:cs="Aharoni"/>
          <w:color w:val="000000"/>
          <w:rtl/>
        </w:rPr>
        <w:t xml:space="preserve">: סיכויי ההליך מזה ומאזן הנוחות שבין שני הצדדים מזה. בין שני השיקולים הללו מתקיימת 'מקבילית כוחות', </w:t>
      </w:r>
      <w:r w:rsidR="00FE51FB" w:rsidRPr="00FE51FB">
        <w:rPr>
          <w:rFonts w:ascii="Aharoni" w:hAnsi="Aharoni" w:cs="Aharoni"/>
          <w:color w:val="000000"/>
          <w:sz w:val="26"/>
          <w:szCs w:val="26"/>
          <w:u w:val="single"/>
          <w:rtl/>
        </w:rPr>
        <w:t>ולפיה חוזקו של השיקול האחד יכול לפצות על חולשתו של האחר</w:t>
      </w:r>
      <w:r w:rsidR="00FE51FB" w:rsidRPr="00FE51FB">
        <w:rPr>
          <w:rFonts w:ascii="Aharoni" w:hAnsi="Aharoni" w:cs="Aharoni"/>
          <w:color w:val="000000"/>
          <w:sz w:val="26"/>
          <w:szCs w:val="26"/>
          <w:rtl/>
        </w:rPr>
        <w:t xml:space="preserve"> </w:t>
      </w:r>
      <w:r w:rsidR="00FE51FB" w:rsidRPr="00FE51FB">
        <w:rPr>
          <w:rFonts w:ascii="Aharoni" w:hAnsi="Aharoni" w:cs="Aharoni"/>
          <w:color w:val="000000"/>
          <w:rtl/>
        </w:rPr>
        <w:t>(ראו למשל רע"א 7547/16 לשכת עורכי הדין בישראל נ' זכותי מומחים לזכויות רפואיות בע"מ, [פורסם בנבו] פסקה 13 וההפניות שם</w:t>
      </w:r>
      <w:r w:rsidR="00FE51FB" w:rsidRPr="00FE51FB">
        <w:rPr>
          <w:rFonts w:ascii="Aharoni" w:hAnsi="Aharoni" w:cs="Aharoni"/>
          <w:color w:val="000000"/>
        </w:rPr>
        <w:t xml:space="preserve"> (3.11.2016)</w:t>
      </w:r>
      <w:r w:rsidR="00FE51FB" w:rsidRPr="00FE51FB">
        <w:rPr>
          <w:rFonts w:ascii="Aharoni" w:hAnsi="Aharoni" w:cs="Aharoni"/>
          <w:color w:val="000000"/>
          <w:rtl/>
        </w:rPr>
        <w:t>)</w:t>
      </w:r>
      <w:r w:rsidR="00FE51FB" w:rsidRPr="00FE51FB">
        <w:rPr>
          <w:rFonts w:ascii="Aharoni" w:hAnsi="Aharoni" w:cs="Aharoni"/>
          <w:color w:val="000000"/>
        </w:rPr>
        <w:t>."</w:t>
      </w:r>
    </w:p>
    <w:p w:rsidR="00FE51FB" w:rsidRDefault="00FE51FB" w:rsidP="00FE51FB">
      <w:pPr>
        <w:pStyle w:val="af0"/>
        <w:spacing w:line="360" w:lineRule="auto"/>
        <w:jc w:val="both"/>
        <w:rPr>
          <w:rFonts w:ascii="Arial" w:hAnsi="Arial"/>
          <w:b/>
          <w:bCs/>
          <w:rtl/>
        </w:rPr>
      </w:pPr>
    </w:p>
    <w:p w:rsidR="00FE51FB" w:rsidRPr="00AB767B" w:rsidRDefault="00FE51FB" w:rsidP="00AB767B">
      <w:pPr>
        <w:pStyle w:val="af0"/>
        <w:numPr>
          <w:ilvl w:val="0"/>
          <w:numId w:val="1"/>
        </w:numPr>
        <w:spacing w:line="360" w:lineRule="auto"/>
        <w:jc w:val="both"/>
        <w:rPr>
          <w:rFonts w:ascii="Arial" w:hAnsi="Arial"/>
          <w:b/>
          <w:bCs/>
          <w:rtl/>
        </w:rPr>
      </w:pPr>
      <w:r w:rsidRPr="00AB767B">
        <w:rPr>
          <w:rFonts w:ascii="Arial" w:hAnsi="Arial" w:hint="cs"/>
          <w:rtl/>
        </w:rPr>
        <w:t>זאת ועוד</w:t>
      </w:r>
      <w:r w:rsidR="00AB767B" w:rsidRPr="00AB767B">
        <w:rPr>
          <w:rFonts w:ascii="Arial" w:hAnsi="Arial" w:hint="cs"/>
          <w:rtl/>
        </w:rPr>
        <w:t>:</w:t>
      </w:r>
      <w:r w:rsidR="00AB767B">
        <w:rPr>
          <w:rFonts w:ascii="Arial" w:hAnsi="Arial" w:hint="cs"/>
          <w:rtl/>
        </w:rPr>
        <w:t xml:space="preserve"> </w:t>
      </w:r>
      <w:r w:rsidR="00AB767B" w:rsidRPr="00AB767B">
        <w:rPr>
          <w:rFonts w:ascii="Arial" w:hAnsi="Arial" w:hint="cs"/>
          <w:rtl/>
        </w:rPr>
        <w:t xml:space="preserve">שני השקולים </w:t>
      </w:r>
      <w:r w:rsidR="00AB767B" w:rsidRPr="00AB767B">
        <w:rPr>
          <w:rFonts w:ascii="Arial" w:hAnsi="Arial"/>
          <w:rtl/>
        </w:rPr>
        <w:t>–</w:t>
      </w:r>
      <w:r w:rsidR="00AB767B" w:rsidRPr="00AB767B">
        <w:rPr>
          <w:rFonts w:ascii="Arial" w:hAnsi="Arial" w:hint="cs"/>
          <w:rtl/>
        </w:rPr>
        <w:t xml:space="preserve"> סיכויי התביעה לעומת מאזן הנוחות </w:t>
      </w:r>
      <w:r w:rsidR="00AB767B" w:rsidRPr="00AB767B">
        <w:rPr>
          <w:rFonts w:ascii="Arial" w:hAnsi="Arial"/>
          <w:rtl/>
        </w:rPr>
        <w:t>–</w:t>
      </w:r>
      <w:r w:rsidR="00AB767B" w:rsidRPr="00AB767B">
        <w:rPr>
          <w:rFonts w:ascii="Arial" w:hAnsi="Arial" w:hint="cs"/>
          <w:rtl/>
        </w:rPr>
        <w:t xml:space="preserve"> אינם שווים ביניהם, ו"</w:t>
      </w:r>
      <w:hyperlink r:id="rId20" w:history="1">
        <w:r w:rsidR="00AB767B" w:rsidRPr="00AB767B">
          <w:rPr>
            <w:rStyle w:val="Hyperlink"/>
            <w:sz w:val="27"/>
            <w:szCs w:val="27"/>
            <w:rtl/>
          </w:rPr>
          <w:t>‏</w:t>
        </w:r>
      </w:hyperlink>
      <w:r w:rsidR="00AB767B" w:rsidRPr="00AB767B">
        <w:rPr>
          <w:color w:val="000000"/>
          <w:sz w:val="27"/>
          <w:szCs w:val="27"/>
          <w:rtl/>
        </w:rPr>
        <w:t>‏</w:t>
      </w:r>
      <w:r w:rsidR="00AB767B" w:rsidRPr="00AB767B">
        <w:rPr>
          <w:rFonts w:ascii="Aharoni" w:hAnsi="Aharoni" w:cs="Aharoni"/>
          <w:color w:val="000000"/>
          <w:rtl/>
        </w:rPr>
        <w:t>פעמים רבות י</w:t>
      </w:r>
      <w:r w:rsidR="00AB767B" w:rsidRPr="00AB767B">
        <w:rPr>
          <w:rFonts w:ascii="Aharoni" w:hAnsi="Aharoni" w:cs="Aharoni" w:hint="cs"/>
          <w:color w:val="000000"/>
          <w:rtl/>
        </w:rPr>
        <w:t>י</w:t>
      </w:r>
      <w:r w:rsidR="00AB767B" w:rsidRPr="00AB767B">
        <w:rPr>
          <w:rFonts w:ascii="Aharoni" w:hAnsi="Aharoni" w:cs="Aharoni"/>
          <w:color w:val="000000"/>
          <w:rtl/>
        </w:rPr>
        <w:t xml:space="preserve">נתן </w:t>
      </w:r>
      <w:r w:rsidR="00AB767B" w:rsidRPr="001D6BFA">
        <w:rPr>
          <w:rFonts w:ascii="Aharoni" w:hAnsi="Aharoni" w:cs="Aharoni"/>
          <w:color w:val="000000"/>
          <w:u w:val="single"/>
          <w:rtl/>
        </w:rPr>
        <w:t>משפט הבכורה לשיקול בדבר מאזן הנוחות</w:t>
      </w:r>
      <w:r w:rsidR="00AB767B" w:rsidRPr="00AB767B">
        <w:rPr>
          <w:rFonts w:ascii="Aharoni" w:hAnsi="Aharoni" w:cs="Aharoni"/>
          <w:color w:val="000000"/>
          <w:rtl/>
        </w:rPr>
        <w:t xml:space="preserve"> (רע"א 9045/15 בן עמי נ' מדינת </w:t>
      </w:r>
      <w:r w:rsidR="00AB767B" w:rsidRPr="00AB767B">
        <w:rPr>
          <w:rFonts w:ascii="Aharoni" w:hAnsi="Aharoni" w:cs="Aharoni"/>
          <w:color w:val="000000"/>
          <w:rtl/>
        </w:rPr>
        <w:lastRenderedPageBreak/>
        <w:t>ישראל - משטרת ישראל‏, [פורסם בנבו] פסקה 9 וההפניות ש</w:t>
      </w:r>
      <w:r w:rsidR="00AB767B" w:rsidRPr="00AB767B">
        <w:rPr>
          <w:rFonts w:ascii="Aharoni" w:hAnsi="Aharoni" w:cs="Aharoni" w:hint="cs"/>
          <w:color w:val="000000"/>
          <w:rtl/>
        </w:rPr>
        <w:t xml:space="preserve">ם </w:t>
      </w:r>
      <w:r w:rsidR="00AB767B" w:rsidRPr="00AB767B">
        <w:rPr>
          <w:rFonts w:ascii="Aharoni" w:hAnsi="Aharoni" w:cs="Aharoni"/>
          <w:color w:val="000000"/>
        </w:rPr>
        <w:t xml:space="preserve"> (7.1.2016)</w:t>
      </w:r>
      <w:r w:rsidR="00AB767B" w:rsidRPr="00AB767B">
        <w:rPr>
          <w:rFonts w:ascii="Aharoni" w:hAnsi="Aharoni" w:cs="Aharoni"/>
          <w:color w:val="000000"/>
          <w:rtl/>
        </w:rPr>
        <w:t>)</w:t>
      </w:r>
      <w:r w:rsidR="00AB767B" w:rsidRPr="00AB767B">
        <w:rPr>
          <w:rFonts w:ascii="Aharoni" w:hAnsi="Aharoni" w:cs="Aharoni"/>
          <w:color w:val="000000"/>
        </w:rPr>
        <w:t>."</w:t>
      </w:r>
      <w:r w:rsidR="00AB767B" w:rsidRPr="00AB767B">
        <w:rPr>
          <w:rFonts w:ascii="Arial" w:hAnsi="Arial" w:hint="cs"/>
          <w:rtl/>
        </w:rPr>
        <w:t xml:space="preserve"> (</w:t>
      </w:r>
      <w:hyperlink r:id="rId21" w:history="1">
        <w:r w:rsidR="00AB767B" w:rsidRPr="00AB767B">
          <w:rPr>
            <w:rStyle w:val="Hyperlink"/>
            <w:rFonts w:ascii="David" w:hAnsi="David"/>
            <w:rtl/>
          </w:rPr>
          <w:t>רע"א 2806/18 </w:t>
        </w:r>
        <w:r w:rsidR="00AB767B" w:rsidRPr="00AB767B">
          <w:rPr>
            <w:rStyle w:val="Hyperlink"/>
            <w:rFonts w:ascii="David" w:hAnsi="David"/>
            <w:b/>
            <w:bCs/>
            <w:rtl/>
          </w:rPr>
          <w:t>דב יששכר יקטר נ' צבי אורטנר</w:t>
        </w:r>
        <w:r w:rsidR="00AB767B" w:rsidRPr="00AB767B">
          <w:rPr>
            <w:rStyle w:val="Hyperlink"/>
            <w:rFonts w:ascii="David" w:hAnsi="David"/>
            <w:rtl/>
          </w:rPr>
          <w:t> (נבו 06.06.2018)‏</w:t>
        </w:r>
      </w:hyperlink>
      <w:r w:rsidR="00AB767B" w:rsidRPr="00AB767B">
        <w:rPr>
          <w:rFonts w:ascii="David" w:hAnsi="David"/>
          <w:color w:val="000000"/>
          <w:rtl/>
        </w:rPr>
        <w:t>‏</w:t>
      </w:r>
      <w:r w:rsidR="00AB767B" w:rsidRPr="00AB767B">
        <w:rPr>
          <w:rFonts w:ascii="Arial" w:hAnsi="Arial" w:hint="cs"/>
          <w:b/>
          <w:bCs/>
          <w:rtl/>
        </w:rPr>
        <w:t xml:space="preserve"> </w:t>
      </w:r>
      <w:r w:rsidR="00AB767B" w:rsidRPr="00AB767B">
        <w:rPr>
          <w:rFonts w:ascii="Arial" w:hAnsi="Arial" w:hint="cs"/>
          <w:rtl/>
        </w:rPr>
        <w:t>סע' 10</w:t>
      </w:r>
      <w:r w:rsidR="00AB767B" w:rsidRPr="00AB767B">
        <w:rPr>
          <w:rFonts w:ascii="Arial" w:hAnsi="Arial" w:hint="cs"/>
          <w:b/>
          <w:bCs/>
          <w:rtl/>
        </w:rPr>
        <w:t>)</w:t>
      </w:r>
    </w:p>
    <w:p w:rsidR="00FE51FB" w:rsidRDefault="00FE51FB" w:rsidP="00FE51FB">
      <w:pPr>
        <w:pStyle w:val="af0"/>
        <w:spacing w:line="360" w:lineRule="auto"/>
        <w:jc w:val="both"/>
        <w:rPr>
          <w:rFonts w:ascii="Arial" w:hAnsi="Arial"/>
          <w:b/>
          <w:bCs/>
          <w:rtl/>
        </w:rPr>
      </w:pPr>
    </w:p>
    <w:p w:rsidR="00E8337E" w:rsidRPr="00AB767B" w:rsidRDefault="000662D7" w:rsidP="00295EBE">
      <w:pPr>
        <w:pStyle w:val="af0"/>
        <w:numPr>
          <w:ilvl w:val="0"/>
          <w:numId w:val="1"/>
        </w:numPr>
        <w:spacing w:line="360" w:lineRule="auto"/>
        <w:jc w:val="both"/>
        <w:rPr>
          <w:rFonts w:ascii="Arial" w:hAnsi="Arial"/>
          <w:b/>
          <w:bCs/>
        </w:rPr>
      </w:pPr>
      <w:r w:rsidRPr="00AB767B">
        <w:rPr>
          <w:rFonts w:ascii="Arial" w:hAnsi="Arial" w:hint="cs"/>
          <w:rtl/>
        </w:rPr>
        <w:t>על כן</w:t>
      </w:r>
      <w:r w:rsidR="00AB767B">
        <w:rPr>
          <w:rFonts w:ascii="Arial" w:hAnsi="Arial" w:hint="cs"/>
          <w:rtl/>
        </w:rPr>
        <w:t>,</w:t>
      </w:r>
      <w:r w:rsidRPr="00AB767B">
        <w:rPr>
          <w:rFonts w:ascii="Arial" w:hAnsi="Arial" w:hint="cs"/>
          <w:rtl/>
        </w:rPr>
        <w:t xml:space="preserve"> גם אם המבקשת מצאה בערעורה פגמים כאלה או אחרים ב</w:t>
      </w:r>
      <w:r w:rsidR="00E8337E" w:rsidRPr="00AB767B">
        <w:rPr>
          <w:rFonts w:ascii="Arial" w:hAnsi="Arial" w:hint="cs"/>
          <w:rtl/>
        </w:rPr>
        <w:t xml:space="preserve">רכיב </w:t>
      </w:r>
      <w:r w:rsidRPr="00AB767B">
        <w:rPr>
          <w:rFonts w:ascii="Arial" w:hAnsi="Arial" w:hint="cs"/>
          <w:rtl/>
        </w:rPr>
        <w:t>סיכויי התביעה המפחיתים את עוצמת</w:t>
      </w:r>
      <w:r w:rsidR="001D6BFA">
        <w:rPr>
          <w:rFonts w:ascii="Arial" w:hAnsi="Arial" w:hint="cs"/>
          <w:rtl/>
        </w:rPr>
        <w:t>ו של הרכיב</w:t>
      </w:r>
      <w:r w:rsidRPr="00AB767B">
        <w:rPr>
          <w:rFonts w:ascii="Arial" w:hAnsi="Arial" w:hint="cs"/>
          <w:rtl/>
        </w:rPr>
        <w:t xml:space="preserve">, </w:t>
      </w:r>
      <w:r w:rsidR="00E8337E" w:rsidRPr="00AB767B">
        <w:rPr>
          <w:rFonts w:ascii="Arial" w:hAnsi="Arial" w:hint="cs"/>
          <w:rtl/>
        </w:rPr>
        <w:t xml:space="preserve">כל עוד רכיב ההכבדה ומאזן הנוחות נוטה באופן מובהק </w:t>
      </w:r>
      <w:r w:rsidR="00295EBE" w:rsidRPr="00295EBE">
        <w:rPr>
          <w:rFonts w:ascii="Arial" w:hAnsi="Arial" w:hint="cs"/>
          <w:b/>
          <w:bCs/>
          <w:rtl/>
        </w:rPr>
        <w:t>ובמלואו</w:t>
      </w:r>
      <w:r w:rsidR="00295EBE">
        <w:rPr>
          <w:rFonts w:ascii="Arial" w:hAnsi="Arial" w:hint="cs"/>
          <w:rtl/>
        </w:rPr>
        <w:t xml:space="preserve"> </w:t>
      </w:r>
      <w:r w:rsidR="00E8337E" w:rsidRPr="00AB767B">
        <w:rPr>
          <w:rFonts w:ascii="Arial" w:hAnsi="Arial" w:hint="cs"/>
          <w:rtl/>
        </w:rPr>
        <w:t xml:space="preserve">לטובת המשיבה ולמעשה </w:t>
      </w:r>
      <w:r w:rsidRPr="00AB767B">
        <w:rPr>
          <w:rFonts w:ascii="Arial" w:hAnsi="Arial" w:hint="cs"/>
          <w:u w:val="single"/>
          <w:rtl/>
        </w:rPr>
        <w:t>העיקול איננו מכביד כלל על המבקשת</w:t>
      </w:r>
      <w:r w:rsidRPr="00AB767B">
        <w:rPr>
          <w:rFonts w:ascii="Arial" w:hAnsi="Arial" w:hint="cs"/>
          <w:rtl/>
        </w:rPr>
        <w:t xml:space="preserve">, </w:t>
      </w:r>
      <w:r w:rsidR="00E8337E" w:rsidRPr="00AB767B">
        <w:rPr>
          <w:rFonts w:ascii="Arial" w:hAnsi="Arial" w:hint="cs"/>
          <w:rtl/>
        </w:rPr>
        <w:t xml:space="preserve">הרי שאף אם </w:t>
      </w:r>
      <w:r w:rsidR="00E3614E" w:rsidRPr="00AB767B">
        <w:rPr>
          <w:rFonts w:ascii="Arial" w:hAnsi="Arial" w:hint="cs"/>
          <w:rtl/>
        </w:rPr>
        <w:t xml:space="preserve">רכיב סיכויי התביעה </w:t>
      </w:r>
      <w:r w:rsidR="00E8337E" w:rsidRPr="00AB767B">
        <w:rPr>
          <w:rFonts w:ascii="Arial" w:hAnsi="Arial" w:hint="cs"/>
          <w:rtl/>
        </w:rPr>
        <w:t xml:space="preserve">הינו על </w:t>
      </w:r>
      <w:r w:rsidR="00E3614E" w:rsidRPr="00AB767B">
        <w:rPr>
          <w:rFonts w:ascii="Arial" w:hAnsi="Arial" w:hint="cs"/>
          <w:rtl/>
        </w:rPr>
        <w:t>הצד הנמוך</w:t>
      </w:r>
      <w:r w:rsidR="00EA37DE" w:rsidRPr="00AB767B">
        <w:rPr>
          <w:rFonts w:ascii="Arial" w:hAnsi="Arial" w:hint="cs"/>
          <w:rtl/>
        </w:rPr>
        <w:t xml:space="preserve"> (אבל קיים)</w:t>
      </w:r>
      <w:r w:rsidR="00E3614E" w:rsidRPr="00AB767B">
        <w:rPr>
          <w:rFonts w:ascii="Arial" w:hAnsi="Arial" w:hint="cs"/>
          <w:rtl/>
        </w:rPr>
        <w:t xml:space="preserve">, </w:t>
      </w:r>
      <w:r w:rsidR="00E8337E" w:rsidRPr="00AB767B">
        <w:rPr>
          <w:rFonts w:ascii="Arial" w:hAnsi="Arial" w:hint="cs"/>
          <w:rtl/>
        </w:rPr>
        <w:t>שיקולי בימ"ש קמא להותיר העיקול על כנו בנסיבות הללו עומדים באמות המידה הנדרשות</w:t>
      </w:r>
      <w:r w:rsidR="00563D04" w:rsidRPr="00AB767B">
        <w:rPr>
          <w:rFonts w:ascii="Arial" w:hAnsi="Arial" w:hint="cs"/>
          <w:rtl/>
        </w:rPr>
        <w:t xml:space="preserve"> ("מקבילית הכוחות") </w:t>
      </w:r>
      <w:r w:rsidR="00E8337E" w:rsidRPr="00AB767B">
        <w:rPr>
          <w:rFonts w:ascii="Arial" w:hAnsi="Arial" w:hint="cs"/>
          <w:rtl/>
        </w:rPr>
        <w:t xml:space="preserve">ואין כל הצדקה להתערב </w:t>
      </w:r>
      <w:r w:rsidRPr="00AB767B">
        <w:rPr>
          <w:rFonts w:ascii="Arial" w:hAnsi="Arial" w:hint="cs"/>
          <w:rtl/>
        </w:rPr>
        <w:t>בשיקול דעתו.</w:t>
      </w:r>
      <w:r w:rsidR="000A09C5" w:rsidRPr="00AB767B">
        <w:rPr>
          <w:rFonts w:ascii="Arial" w:hAnsi="Arial" w:hint="cs"/>
          <w:rtl/>
        </w:rPr>
        <w:t xml:space="preserve"> </w:t>
      </w:r>
      <w:r w:rsidR="00E8337E" w:rsidRPr="00AB767B">
        <w:rPr>
          <w:rFonts w:ascii="David" w:hAnsi="David"/>
          <w:rtl/>
        </w:rPr>
        <w:t>"</w:t>
      </w:r>
      <w:r w:rsidR="00E8337E" w:rsidRPr="00AB767B">
        <w:rPr>
          <w:rFonts w:ascii="Aharoni" w:hAnsi="Aharoni" w:cs="Aharoni"/>
          <w:rtl/>
        </w:rPr>
        <w:t>כידוע, להחלטה בבקשה לסעד זמני עשויות להיות השלכות מרחיקות לכת על האינטרסים של הצדדים ועל ההליך, שכן במקרים רבים היא עשויה לחרוץ את גורל התביעה בטרם נערך בירור מעמיק של טענות הצדדים לגופן (ראו: רע"א 6700/17 ואקו פק תעשיות בע"מ נ' ירקת ירקות צעירים וארוזים בע"מ, [פורסם בנבו] פסקה 7</w:t>
      </w:r>
      <w:r w:rsidR="00E8337E" w:rsidRPr="00AB767B">
        <w:rPr>
          <w:rFonts w:ascii="Aharoni" w:hAnsi="Aharoni" w:cs="Aharoni" w:hint="cs"/>
          <w:rtl/>
        </w:rPr>
        <w:t xml:space="preserve"> </w:t>
      </w:r>
      <w:r w:rsidR="00E8337E" w:rsidRPr="00AB767B">
        <w:rPr>
          <w:rFonts w:ascii="Aharoni" w:hAnsi="Aharoni" w:cs="Aharoni"/>
        </w:rPr>
        <w:t xml:space="preserve"> (8.11.2017)</w:t>
      </w:r>
      <w:r w:rsidR="00E8337E" w:rsidRPr="00AB767B">
        <w:rPr>
          <w:rFonts w:ascii="Aharoni" w:hAnsi="Aharoni" w:cs="Aharoni"/>
          <w:rtl/>
        </w:rPr>
        <w:t>). לפיכך, נקבעו אמות מידה המתוות את שיקול דעת בית המשפט במתן סעדים זמניים, וזאת במטרה לאזן באופן ראוי בין זכויות הצדדים (ראו: רע"א 4837/14 אסולין נ' פלאפל אסולין 2003 בע"מ, [פורסם בנבו] פסקה 15</w:t>
      </w:r>
      <w:r w:rsidR="00E8337E" w:rsidRPr="00AB767B">
        <w:rPr>
          <w:rFonts w:ascii="Aharoni" w:hAnsi="Aharoni" w:cs="Aharoni"/>
        </w:rPr>
        <w:t xml:space="preserve"> (21.10.2014)</w:t>
      </w:r>
      <w:r w:rsidR="00E8337E" w:rsidRPr="00AB767B">
        <w:rPr>
          <w:rFonts w:ascii="Aharoni" w:hAnsi="Aharoni" w:cs="Aharoni"/>
          <w:rtl/>
        </w:rPr>
        <w:t>)</w:t>
      </w:r>
      <w:r w:rsidR="000A09C5" w:rsidRPr="00AB767B">
        <w:rPr>
          <w:rFonts w:ascii="Aharoni" w:hAnsi="Aharoni" w:cs="Aharoni" w:hint="cs"/>
          <w:rtl/>
        </w:rPr>
        <w:t>".</w:t>
      </w:r>
      <w:hyperlink r:id="rId22" w:history="1">
        <w:r w:rsidR="000A09C5" w:rsidRPr="00AB767B">
          <w:rPr>
            <w:rStyle w:val="Hyperlink"/>
            <w:rFonts w:ascii="David" w:hAnsi="David" w:hint="cs"/>
            <w:u w:val="none"/>
            <w:rtl/>
          </w:rPr>
          <w:t xml:space="preserve"> (</w:t>
        </w:r>
        <w:r w:rsidR="000A09C5" w:rsidRPr="00AB767B">
          <w:rPr>
            <w:rStyle w:val="Hyperlink"/>
            <w:rFonts w:ascii="David" w:hAnsi="David" w:hint="cs"/>
            <w:rtl/>
          </w:rPr>
          <w:t>ר</w:t>
        </w:r>
        <w:r w:rsidR="000A09C5" w:rsidRPr="00AB767B">
          <w:rPr>
            <w:rStyle w:val="Hyperlink"/>
            <w:rFonts w:ascii="David" w:hAnsi="David"/>
            <w:rtl/>
          </w:rPr>
          <w:t>ע"א 260/19 </w:t>
        </w:r>
        <w:r w:rsidR="000A09C5" w:rsidRPr="00AB767B">
          <w:rPr>
            <w:rStyle w:val="Hyperlink"/>
            <w:rFonts w:ascii="David" w:hAnsi="David"/>
            <w:b/>
            <w:bCs/>
            <w:rtl/>
          </w:rPr>
          <w:t>יורם כהן נ' כונס הנכסים</w:t>
        </w:r>
        <w:r w:rsidR="000A09C5" w:rsidRPr="00AB767B">
          <w:rPr>
            <w:rStyle w:val="Hyperlink"/>
            <w:rFonts w:ascii="David" w:hAnsi="David"/>
            <w:rtl/>
          </w:rPr>
          <w:t> (נבו 28.02.2019)‏</w:t>
        </w:r>
      </w:hyperlink>
      <w:r w:rsidR="000A09C5" w:rsidRPr="00AB767B">
        <w:rPr>
          <w:rFonts w:ascii="David" w:hAnsi="David"/>
          <w:rtl/>
        </w:rPr>
        <w:t>‏</w:t>
      </w:r>
      <w:r w:rsidR="000A09C5" w:rsidRPr="00AB767B">
        <w:rPr>
          <w:rFonts w:ascii="David" w:hAnsi="David" w:hint="cs"/>
          <w:rtl/>
        </w:rPr>
        <w:t>)</w:t>
      </w:r>
    </w:p>
    <w:p w:rsidR="00E8337E" w:rsidRPr="00E8337E" w:rsidRDefault="00E8337E" w:rsidP="00E8337E">
      <w:pPr>
        <w:spacing w:line="360" w:lineRule="auto"/>
        <w:jc w:val="both"/>
        <w:rPr>
          <w:rFonts w:ascii="Arial" w:hAnsi="Arial"/>
        </w:rPr>
      </w:pPr>
    </w:p>
    <w:p w:rsidR="00EF4894" w:rsidRPr="00D348E1" w:rsidRDefault="00EF4894" w:rsidP="00D348E1">
      <w:pPr>
        <w:spacing w:after="120" w:line="360" w:lineRule="auto"/>
        <w:jc w:val="both"/>
        <w:rPr>
          <w:rFonts w:ascii="David" w:hAnsi="David"/>
          <w:b/>
          <w:bCs/>
          <w:noProof/>
          <w:u w:val="single"/>
        </w:rPr>
      </w:pPr>
      <w:r w:rsidRPr="00D348E1">
        <w:rPr>
          <w:rFonts w:ascii="David" w:hAnsi="David"/>
          <w:b/>
          <w:bCs/>
          <w:noProof/>
          <w:u w:val="single"/>
          <w:rtl/>
        </w:rPr>
        <w:t>סוף דבר</w:t>
      </w:r>
    </w:p>
    <w:p w:rsidR="00EF4894" w:rsidRPr="00D348E1" w:rsidRDefault="00EF4894" w:rsidP="00D348E1">
      <w:pPr>
        <w:spacing w:after="120" w:line="360" w:lineRule="auto"/>
        <w:jc w:val="both"/>
        <w:rPr>
          <w:rFonts w:ascii="David" w:hAnsi="David"/>
          <w:noProof/>
          <w:rtl/>
        </w:rPr>
      </w:pPr>
      <w:r w:rsidRPr="00136A32">
        <w:rPr>
          <w:rFonts w:ascii="David" w:hAnsi="David" w:hint="cs"/>
          <w:b/>
          <w:bCs/>
          <w:noProof/>
          <w:rtl/>
        </w:rPr>
        <w:t>ל</w:t>
      </w:r>
      <w:r w:rsidRPr="00136A32">
        <w:rPr>
          <w:rFonts w:ascii="David" w:hAnsi="David"/>
          <w:b/>
          <w:bCs/>
          <w:noProof/>
          <w:rtl/>
        </w:rPr>
        <w:t>או</w:t>
      </w:r>
      <w:r w:rsidRPr="00D348E1">
        <w:rPr>
          <w:rFonts w:ascii="David" w:hAnsi="David"/>
          <w:b/>
          <w:bCs/>
          <w:noProof/>
          <w:rtl/>
        </w:rPr>
        <w:t>ר כל האמור לעיל אני מורה על דחיית בקשת רשות הערעור.</w:t>
      </w:r>
    </w:p>
    <w:p w:rsidR="00EF4894" w:rsidRDefault="00EF4894" w:rsidP="005118FD">
      <w:pPr>
        <w:spacing w:after="120" w:line="360" w:lineRule="auto"/>
        <w:jc w:val="both"/>
        <w:rPr>
          <w:rFonts w:ascii="David" w:eastAsia="Calibri" w:hAnsi="David"/>
          <w:noProof/>
          <w:rtl/>
        </w:rPr>
      </w:pPr>
      <w:r w:rsidRPr="005118FD">
        <w:rPr>
          <w:rFonts w:ascii="David" w:eastAsia="Calibri" w:hAnsi="David"/>
          <w:noProof/>
          <w:rtl/>
        </w:rPr>
        <w:t xml:space="preserve">משלא נדרשה תשובה אין צו להוצאות והעירבון </w:t>
      </w:r>
      <w:r>
        <w:rPr>
          <w:rFonts w:ascii="David" w:eastAsia="Calibri" w:hAnsi="David" w:hint="cs"/>
          <w:noProof/>
          <w:rtl/>
        </w:rPr>
        <w:t xml:space="preserve">ככל שהופקד </w:t>
      </w:r>
      <w:r w:rsidRPr="005118FD">
        <w:rPr>
          <w:rFonts w:ascii="David" w:eastAsia="Calibri" w:hAnsi="David"/>
          <w:noProof/>
          <w:rtl/>
        </w:rPr>
        <w:t>יוחזר למפקיד באמצעות ב"כ.</w:t>
      </w:r>
    </w:p>
    <w:p w:rsidR="00EF4894" w:rsidRPr="00361CB1" w:rsidRDefault="00EF4894" w:rsidP="005118FD">
      <w:pPr>
        <w:spacing w:after="120" w:line="360" w:lineRule="auto"/>
        <w:jc w:val="both"/>
        <w:rPr>
          <w:rFonts w:ascii="David" w:eastAsia="Calibri" w:hAnsi="David"/>
          <w:noProof/>
          <w:u w:val="single"/>
        </w:rPr>
      </w:pPr>
      <w:r w:rsidRPr="00361CB1">
        <w:rPr>
          <w:rFonts w:ascii="David" w:eastAsia="Calibri" w:hAnsi="David" w:hint="cs"/>
          <w:noProof/>
          <w:u w:val="single"/>
          <w:rtl/>
        </w:rPr>
        <w:t>פסק דין זה מותר לפרסום בהשמטת שמות הצדדים וכל פרט מזהה אחר.</w:t>
      </w:r>
    </w:p>
    <w:p w:rsidR="00EF4894" w:rsidRPr="005118FD" w:rsidRDefault="00EF4894"/>
    <w:p w:rsidR="00694556" w:rsidRPr="00C770E3" w:rsidRDefault="00694556">
      <w:pPr>
        <w:spacing w:line="360" w:lineRule="auto"/>
        <w:jc w:val="both"/>
        <w:rPr>
          <w:rFonts w:ascii="Arial" w:hAnsi="Arial"/>
          <w:rtl/>
        </w:rPr>
      </w:pPr>
    </w:p>
    <w:p w:rsidR="00694556" w:rsidRDefault="0043502B" w:rsidP="00860102">
      <w:pPr>
        <w:spacing w:line="360" w:lineRule="auto"/>
        <w:jc w:val="both"/>
        <w:rPr>
          <w:rFonts w:ascii="Arial" w:hAnsi="Arial"/>
          <w:rtl/>
        </w:rPr>
      </w:pPr>
      <w:r>
        <w:rPr>
          <w:rFonts w:ascii="Arial" w:hAnsi="Arial"/>
          <w:rtl/>
        </w:rPr>
        <w:t>נית</w:t>
      </w:r>
      <w:r w:rsidR="00860102">
        <w:rPr>
          <w:rFonts w:ascii="Arial" w:hAnsi="Arial" w:hint="cs"/>
          <w:rtl/>
        </w:rPr>
        <w:t>ן</w:t>
      </w:r>
      <w:r w:rsidR="00005C8B">
        <w:rPr>
          <w:rFonts w:ascii="Arial" w:hAnsi="Arial"/>
          <w:rtl/>
        </w:rPr>
        <w:t xml:space="preserve"> היום, </w:t>
      </w:r>
      <w:sdt>
        <w:sdtPr>
          <w:rPr>
            <w:rtl/>
          </w:rPr>
          <w:alias w:val="1455"/>
          <w:tag w:val="1455"/>
          <w:id w:val="1666048407"/>
          <w:text w:multiLine="1"/>
        </w:sdtPr>
        <w:sdtEndPr/>
        <w:sdtContent>
          <w:r>
            <w:rPr>
              <w:rFonts w:ascii="Arial" w:hAnsi="Arial"/>
              <w:rtl/>
            </w:rPr>
            <w:t>כ"ז אלול תשפ"ג</w:t>
          </w:r>
        </w:sdtContent>
      </w:sdt>
      <w:r w:rsidR="00005C8B">
        <w:rPr>
          <w:rFonts w:ascii="Arial" w:hAnsi="Arial"/>
          <w:rtl/>
        </w:rPr>
        <w:t xml:space="preserve">, </w:t>
      </w:r>
      <w:sdt>
        <w:sdtPr>
          <w:rPr>
            <w:rtl/>
          </w:rPr>
          <w:alias w:val="1456"/>
          <w:tag w:val="1456"/>
          <w:id w:val="-1186288958"/>
          <w:text w:multiLine="1"/>
        </w:sdtPr>
        <w:sdtEndPr/>
        <w:sdtContent>
          <w:r>
            <w:rPr>
              <w:rFonts w:ascii="Arial" w:hAnsi="Arial"/>
              <w:rtl/>
            </w:rPr>
            <w:t>13 ספטמבר 2023</w:t>
          </w:r>
        </w:sdtContent>
      </w:sdt>
      <w:r w:rsidR="00005C8B">
        <w:rPr>
          <w:rFonts w:ascii="Arial" w:hAnsi="Arial"/>
          <w:rtl/>
        </w:rPr>
        <w:t>, בהעדר הצדדים.</w:t>
      </w:r>
    </w:p>
    <w:p w:rsidR="00C43648" w:rsidRDefault="003979F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50926572"/>
        </w:sdtPr>
        <w:sdtEndPr/>
        <w:sdtContent>
          <w:r w:rsidR="00631BE8">
            <w:rPr>
              <w:noProof/>
            </w:rPr>
            <w:drawing>
              <wp:inline distT="0" distB="0" distL="0" distR="0" wp14:editId="50D07946">
                <wp:extent cx="1085850"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3" cstate="print">
                          <a:extLst/>
                        </a:blip>
                        <a:stretch>
                          <a:fillRect/>
                        </a:stretch>
                      </pic:blipFill>
                      <pic:spPr>
                        <a:xfrm>
                          <a:off x="0" y="0"/>
                          <a:ext cx="1085850" cy="1209675"/>
                        </a:xfrm>
                        <a:prstGeom prst="rect">
                          <a:avLst/>
                        </a:prstGeom>
                      </pic:spPr>
                    </pic:pic>
                  </a:graphicData>
                </a:graphic>
              </wp:inline>
            </w:drawing>
          </w:r>
        </w:sdtContent>
      </w:sdt>
    </w:p>
    <w:p w:rsidR="00694556" w:rsidRDefault="00694556" w:rsidP="00BD6531">
      <w:pPr>
        <w:tabs>
          <w:tab w:val="left" w:pos="2553"/>
        </w:tabs>
        <w:rPr>
          <w:rFonts w:ascii="Arial" w:hAnsi="Arial"/>
          <w:rtl/>
        </w:rPr>
      </w:pPr>
    </w:p>
    <w:sectPr w:rsidR="00694556" w:rsidSect="00EC707B">
      <w:headerReference w:type="even" r:id="rId24"/>
      <w:headerReference w:type="default" r:id="rId25"/>
      <w:footerReference w:type="even" r:id="rId26"/>
      <w:footerReference w:type="default" r:id="rId27"/>
      <w:headerReference w:type="first" r:id="rId28"/>
      <w:footerReference w:type="first" r:id="rId29"/>
      <w:pgSz w:w="11907" w:h="16840" w:code="9"/>
      <w:pgMar w:top="1276" w:right="1800" w:bottom="567"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7BE2" w:rsidRDefault="00DB7BE2">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6"/>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4F662B">
      <w:rPr>
        <w:rStyle w:val="ae"/>
        <w:rFonts w:cs="Times New Roman"/>
        <w:noProof/>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4F662B">
      <w:rPr>
        <w:rStyle w:val="ae"/>
        <w:noProof/>
        <w:rtl/>
      </w:rPr>
      <w:t>5</w:t>
    </w:r>
    <w:r w:rsidRPr="004E6E3C">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7BE2" w:rsidRDefault="00DB7BE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7BE2" w:rsidRDefault="00DB7BE2">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sz w:val="28"/>
        <w:szCs w:val="28"/>
        <w:rtl/>
      </w:rPr>
    </w:pPr>
    <w:r>
      <w:rPr>
        <w:rFonts w:cs="FrankRuehl"/>
        <w:noProof/>
        <w:sz w:val="28"/>
        <w:szCs w:val="28"/>
      </w:rPr>
      <w:drawing>
        <wp:inline distT="0" distB="0" distL="0" distR="0" wp14:anchorId="2535346B" wp14:editId="0528C5E4">
          <wp:extent cx="374015" cy="469265"/>
          <wp:effectExtent l="0" t="0" r="6985" b="698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5"/>
                <w:jc w:val="center"/>
                <w:rPr>
                  <w:rFonts w:ascii="Tahoma" w:hAnsi="Tahoma"/>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sz w:val="26"/>
              <w:szCs w:val="26"/>
              <w:rtl/>
            </w:rPr>
          </w:pPr>
        </w:p>
      </w:tc>
      <w:tc>
        <w:tcPr>
          <w:tcW w:w="3674" w:type="dxa"/>
        </w:tcPr>
        <w:p w:rsidR="00694556" w:rsidRDefault="00694556">
          <w:pPr>
            <w:pStyle w:val="a5"/>
            <w:jc w:val="right"/>
            <w:rPr>
              <w:b/>
              <w:bCs/>
              <w:sz w:val="26"/>
              <w:szCs w:val="26"/>
              <w:rtl/>
            </w:rPr>
          </w:pPr>
        </w:p>
      </w:tc>
    </w:tr>
    <w:tr w:rsidR="00694556">
      <w:trPr>
        <w:trHeight w:val="337"/>
        <w:jc w:val="center"/>
      </w:trPr>
      <w:tc>
        <w:tcPr>
          <w:tcW w:w="8721" w:type="dxa"/>
          <w:gridSpan w:val="2"/>
        </w:tcPr>
        <w:p w:rsidR="007D45E3" w:rsidRDefault="003979FE" w:rsidP="00631BE8">
          <w:pPr>
            <w:rPr>
              <w:sz w:val="20"/>
              <w:szCs w:val="20"/>
              <w:rtl/>
            </w:rPr>
          </w:pPr>
          <w:sdt>
            <w:sdtPr>
              <w:rPr>
                <w:rtl/>
              </w:rPr>
              <w:alias w:val="1170"/>
              <w:tag w:val="1170"/>
              <w:id w:val="1066377040"/>
              <w:text w:multiLine="1"/>
            </w:sdtPr>
            <w:sdtEndPr/>
            <w:sdtContent>
              <w:r w:rsidR="00B859C5">
                <w:rPr>
                  <w:b/>
                  <w:bCs/>
                  <w:sz w:val="26"/>
                  <w:szCs w:val="26"/>
                  <w:rtl/>
                </w:rPr>
                <w:t>רמ"ש</w:t>
              </w:r>
            </w:sdtContent>
          </w:sdt>
          <w:r w:rsidR="00005C8B">
            <w:rPr>
              <w:b/>
              <w:bCs/>
              <w:sz w:val="26"/>
              <w:szCs w:val="26"/>
              <w:rtl/>
            </w:rPr>
            <w:t xml:space="preserve"> </w:t>
          </w:r>
          <w:sdt>
            <w:sdtPr>
              <w:rPr>
                <w:rtl/>
              </w:rPr>
              <w:alias w:val="1171"/>
              <w:tag w:val="1171"/>
              <w:id w:val="257034231"/>
              <w:text w:multiLine="1"/>
            </w:sdtPr>
            <w:sdtEndPr/>
            <w:sdtContent>
              <w:r w:rsidR="00B859C5">
                <w:rPr>
                  <w:b/>
                  <w:bCs/>
                  <w:sz w:val="26"/>
                  <w:szCs w:val="26"/>
                  <w:rtl/>
                </w:rPr>
                <w:t>25902-09-23</w:t>
              </w:r>
            </w:sdtContent>
          </w:sdt>
          <w:r w:rsidR="00005C8B">
            <w:rPr>
              <w:b/>
              <w:bCs/>
              <w:sz w:val="26"/>
              <w:szCs w:val="26"/>
              <w:rtl/>
            </w:rPr>
            <w:t xml:space="preserve"> </w:t>
          </w:r>
          <w:sdt>
            <w:sdtPr>
              <w:rPr>
                <w:b/>
                <w:bCs/>
                <w:sz w:val="26"/>
                <w:szCs w:val="26"/>
                <w:rtl/>
              </w:rPr>
              <w:alias w:val="3154"/>
              <w:tag w:val="3154"/>
              <w:id w:val="-1285889662"/>
              <w:placeholder>
                <w:docPart w:val="F5EF4663D5094D57BB3FEC6B89CF5C8E"/>
              </w:placeholder>
              <w:text w:multiLine="1"/>
            </w:sdtPr>
            <w:sdtEndPr/>
            <w:sdtContent>
              <w:r w:rsidR="00631BE8">
                <w:rPr>
                  <w:rFonts w:hint="cs"/>
                  <w:b/>
                  <w:bCs/>
                  <w:sz w:val="26"/>
                  <w:szCs w:val="26"/>
                  <w:rtl/>
                </w:rPr>
                <w:t>ד.</w:t>
              </w:r>
              <w:r w:rsidR="00B859C5">
                <w:rPr>
                  <w:b/>
                  <w:bCs/>
                  <w:sz w:val="26"/>
                  <w:szCs w:val="26"/>
                  <w:rtl/>
                </w:rPr>
                <w:t xml:space="preserve"> נ' </w:t>
              </w:r>
              <w:r w:rsidR="00631BE8">
                <w:rPr>
                  <w:rFonts w:hint="cs"/>
                  <w:b/>
                  <w:bCs/>
                  <w:sz w:val="26"/>
                  <w:szCs w:val="26"/>
                  <w:rtl/>
                </w:rPr>
                <w:t>ד.</w:t>
              </w:r>
            </w:sdtContent>
          </w:sdt>
          <w:r w:rsidR="007C2453">
            <w:rPr>
              <w:b/>
              <w:bCs/>
              <w:sz w:val="26"/>
              <w:szCs w:val="26"/>
              <w:rtl/>
            </w:rPr>
            <w:t xml:space="preserve"> </w:t>
          </w:r>
          <w:r w:rsidR="007D45E3">
            <w:rPr>
              <w:rFonts w:hint="cs"/>
              <w:rtl/>
            </w:rPr>
            <w:t xml:space="preserve">                 </w:t>
          </w:r>
          <w:r w:rsidR="007D45E3">
            <w:rPr>
              <w:rFonts w:hint="cs"/>
              <w:sz w:val="20"/>
              <w:szCs w:val="20"/>
              <w:rtl/>
            </w:rPr>
            <w:t xml:space="preserve">                                       </w:t>
          </w:r>
        </w:p>
        <w:p w:rsidR="008D10B2" w:rsidRPr="00E1068A" w:rsidRDefault="008D10B2" w:rsidP="007D45E3">
          <w:pPr>
            <w:rPr>
              <w:sz w:val="20"/>
              <w:szCs w:val="20"/>
              <w:rtl/>
            </w:rPr>
          </w:pPr>
        </w:p>
      </w:tc>
    </w:tr>
  </w:tbl>
  <w:p w:rsidR="00694556" w:rsidRDefault="00005C8B" w:rsidP="00783832">
    <w:pPr>
      <w:pStyle w:val="a5"/>
      <w:rPr>
        <w:rtl/>
      </w:rPr>
    </w:pPr>
    <w:r>
      <w:rPr>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7BE2" w:rsidRDefault="00DB7BE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740E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78AC2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B9E04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5362AC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E26099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7860B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840BB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141EF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6432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FE4ECF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8710928"/>
    <w:multiLevelType w:val="hybridMultilevel"/>
    <w:tmpl w:val="00CC095A"/>
    <w:lvl w:ilvl="0" w:tplc="26B433D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B84691"/>
    <w:multiLevelType w:val="hybridMultilevel"/>
    <w:tmpl w:val="87B80626"/>
    <w:lvl w:ilvl="0" w:tplc="060C414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9532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95328&amp;lt;/CaseID&amp;gt;_x000d__x000a_        &amp;lt;CaseMonth&amp;gt;9&amp;lt;/CaseMonth&amp;gt;_x000d__x000a_        &amp;lt;CaseYear&amp;gt;2023&amp;lt;/CaseYear&amp;gt;_x000d__x000a_        &amp;lt;CaseNumber&amp;gt;25902&amp;lt;/CaseNumber&amp;gt;_x000d__x000a_        &amp;lt;NumeratorGroupID&amp;gt;1&amp;lt;/NumeratorGroupID&amp;gt;_x000d__x000a_        &amp;lt;CaseName&amp;gt;דיקוי נ&amp;#39; דיקוי&amp;lt;/CaseName&amp;gt;_x000d__x000a_        &amp;lt;CourtID&amp;gt;13&amp;lt;/CourtID&amp;gt;_x000d__x000a_        &amp;lt;CaseTypeID&amp;gt;10074&amp;lt;/CaseTypeID&amp;gt;_x000d__x000a_        &amp;lt;CaseInterestID&amp;gt;101&amp;lt;/CaseInterestID&amp;gt;_x000d__x000a_        &amp;lt;CaseJudgeName&amp;gt;אריה נא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5902-09-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OpenDate&amp;gt;2023-09-11T15:42: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אריה&amp;lt;/CaseJudgeFirstName&amp;gt;_x000d__x000a_        &amp;lt;CaseJudgeLastName&amp;gt;נאמן&amp;lt;/CaseJudgeLastName&amp;gt;_x000d__x000a_        &amp;lt;JudicalPersonID&amp;gt;058677980@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במקום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95328&amp;lt;/CaseID&amp;gt;_x000d__x000a_        &amp;lt;CaseMonth&amp;gt;9&amp;lt;/CaseMonth&amp;gt;_x000d__x000a_        &amp;lt;CaseYear&amp;gt;2023&amp;lt;/CaseYear&amp;gt;_x000d__x000a_        &amp;lt;CaseNumber&amp;gt;25902&amp;lt;/CaseNumber&amp;gt;_x000d__x000a_        &amp;lt;NumeratorGroupID&amp;gt;1&amp;lt;/NumeratorGroupID&amp;gt;_x000d__x000a_        &amp;lt;CaseName&amp;gt;דיקוי נ&amp;#39; דיקוי&amp;lt;/CaseName&amp;gt;_x000d__x000a_        &amp;lt;CourtID&amp;gt;13&amp;lt;/CourtID&amp;gt;_x000d__x000a_        &amp;lt;CaseTypeID&amp;gt;10074&amp;lt;/CaseTypeID&amp;gt;_x000d__x000a_        &amp;lt;CaseInterestID&amp;gt;101&amp;lt;/CaseInterestID&amp;gt;_x000d__x000a_        &amp;lt;CaseJudgeName&amp;gt;אריה נא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5902-09-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OpenDate&amp;gt;2023-09-11T15:42: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אריה&amp;lt;/CaseJudgeFirstName&amp;gt;_x000d__x000a_        &amp;lt;CaseJudgeLastName&amp;gt;נאמן&amp;lt;/CaseJudgeLastName&amp;gt;_x000d__x000a_        &amp;lt;JudicalPersonID&amp;gt;058677980@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במקום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118351&amp;lt;/DecisionID&amp;gt;_x000d__x000a_        &amp;lt;DecisionName&amp;gt;פסק דין  שניתנה ע&amp;quot;י  אריה נאמן&amp;lt;/DecisionName&amp;gt;_x000d__x000a_        &amp;lt;DecisionStatusID&amp;gt;1&amp;lt;/DecisionStatusID&amp;gt;_x000d__x000a_        &amp;lt;DecisionStatusChangeDate&amp;gt;2023-09-13T12:23:20.123+03:00&amp;lt;/DecisionStatusChangeDate&amp;gt;_x000d__x000a_        &amp;lt;DecisionSignatureDate&amp;gt;2023-09-13T09:38:45.223+03:00&amp;lt;/DecisionSignatureDate&amp;gt;_x000d__x000a_        &amp;lt;DecisionSignatureUserID&amp;gt;058677980@GOV.IL&amp;lt;/DecisionSignatureUserID&amp;gt;_x000d__x000a_        &amp;lt;DecisionCreateDate&amp;gt;2023-09-13T08:39:35.71+03:00&amp;lt;/DecisionCreateDate&amp;gt;_x000d__x000a_        &amp;lt;DecisionChangeDate&amp;gt;2023-09-13T12:23:20.193+03:00&amp;lt;/DecisionChangeDate&amp;gt;_x000d__x000a_        &amp;lt;DecisionChangeUserID&amp;gt;0586779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151056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6779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3240502@GOV.IL&amp;lt;/DecisionCreationUserID&amp;gt;_x000d__x000a_        &amp;lt;DecisionDisplayName&amp;gt;פסק דין  שניתנה ע&amp;quot;י  אריה נאמן&amp;lt;/DecisionDisplayName&amp;gt;_x000d__x000a_        &amp;lt;IsScanned&amp;gt;false&amp;lt;/IsScanned&amp;gt;_x000d__x000a_        &amp;lt;DecisionSignatureUserName&amp;gt;אריה נא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47118351&amp;lt;/DecisionID&amp;gt;_x000d__x000a_        &amp;lt;CaseID&amp;gt;80595328&amp;lt;/CaseID&amp;gt;_x000d__x000a_        &amp;lt;IsOriginal&amp;gt;true&amp;lt;/IsOriginal&amp;gt;_x000d__x000a_        &amp;lt;IsDeleted&amp;gt;false&amp;lt;/IsDeleted&amp;gt;_x000d__x000a_        &amp;lt;CaseName&amp;gt;דיקוי נ&amp;#39; דיקוי&amp;lt;/CaseName&amp;gt;_x000d__x000a_        &amp;lt;CaseDisplayIdentifier&amp;gt;25902-09-23 רמ&amp;quot;ש&amp;lt;/CaseDisplayIdentifier&amp;gt;_x000d__x000a_      &amp;lt;/dt_DecisionCase&amp;gt;_x000d__x000a_    &amp;lt;/DecisionDS&amp;gt;_x000d__x000a_  &amp;lt;/diffgr:diffgram&amp;gt;_x000d__x000a_&amp;lt;/DecisionDS&amp;gt;"/>
    <w:docVar w:name="DecisionID" w:val="147118351"/>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662D7"/>
    <w:rsid w:val="00082AB2"/>
    <w:rsid w:val="000906FE"/>
    <w:rsid w:val="00096AF7"/>
    <w:rsid w:val="000A09C5"/>
    <w:rsid w:val="000B344B"/>
    <w:rsid w:val="000C3B0F"/>
    <w:rsid w:val="000C3B60"/>
    <w:rsid w:val="000D320C"/>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973E6"/>
    <w:rsid w:val="001C4003"/>
    <w:rsid w:val="001D4DBF"/>
    <w:rsid w:val="001D6BFA"/>
    <w:rsid w:val="001E75CA"/>
    <w:rsid w:val="002265FF"/>
    <w:rsid w:val="0026075A"/>
    <w:rsid w:val="00271B56"/>
    <w:rsid w:val="00272E32"/>
    <w:rsid w:val="00295EBE"/>
    <w:rsid w:val="002C344E"/>
    <w:rsid w:val="002D6017"/>
    <w:rsid w:val="002E75E9"/>
    <w:rsid w:val="002F0B1E"/>
    <w:rsid w:val="003055E6"/>
    <w:rsid w:val="00305E28"/>
    <w:rsid w:val="00307A6A"/>
    <w:rsid w:val="00307C40"/>
    <w:rsid w:val="00320433"/>
    <w:rsid w:val="003228A0"/>
    <w:rsid w:val="003230C7"/>
    <w:rsid w:val="00327E50"/>
    <w:rsid w:val="0033597A"/>
    <w:rsid w:val="00343D89"/>
    <w:rsid w:val="00362612"/>
    <w:rsid w:val="0036743F"/>
    <w:rsid w:val="003715DD"/>
    <w:rsid w:val="003823E0"/>
    <w:rsid w:val="00397BAD"/>
    <w:rsid w:val="003A4521"/>
    <w:rsid w:val="003D1C8C"/>
    <w:rsid w:val="003E38C7"/>
    <w:rsid w:val="003E7B46"/>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4F662B"/>
    <w:rsid w:val="005163F7"/>
    <w:rsid w:val="00520898"/>
    <w:rsid w:val="005209AE"/>
    <w:rsid w:val="00523621"/>
    <w:rsid w:val="00524986"/>
    <w:rsid w:val="005268F6"/>
    <w:rsid w:val="00534284"/>
    <w:rsid w:val="00547DB7"/>
    <w:rsid w:val="00557717"/>
    <w:rsid w:val="00563D04"/>
    <w:rsid w:val="005761FD"/>
    <w:rsid w:val="00576A86"/>
    <w:rsid w:val="005E3332"/>
    <w:rsid w:val="005F4F09"/>
    <w:rsid w:val="00603F73"/>
    <w:rsid w:val="0061431B"/>
    <w:rsid w:val="00622BAA"/>
    <w:rsid w:val="006306CF"/>
    <w:rsid w:val="00631BE8"/>
    <w:rsid w:val="0063773F"/>
    <w:rsid w:val="00644E9A"/>
    <w:rsid w:val="0066782A"/>
    <w:rsid w:val="00671BD5"/>
    <w:rsid w:val="00671C74"/>
    <w:rsid w:val="006805C1"/>
    <w:rsid w:val="00686C21"/>
    <w:rsid w:val="006931C1"/>
    <w:rsid w:val="00693283"/>
    <w:rsid w:val="00694556"/>
    <w:rsid w:val="006C30C5"/>
    <w:rsid w:val="006D3B31"/>
    <w:rsid w:val="006E0D96"/>
    <w:rsid w:val="006E1A53"/>
    <w:rsid w:val="006F56E6"/>
    <w:rsid w:val="00704EDA"/>
    <w:rsid w:val="00706B6C"/>
    <w:rsid w:val="00721122"/>
    <w:rsid w:val="0073417C"/>
    <w:rsid w:val="00734689"/>
    <w:rsid w:val="007351F7"/>
    <w:rsid w:val="00740837"/>
    <w:rsid w:val="00753019"/>
    <w:rsid w:val="00754801"/>
    <w:rsid w:val="00761441"/>
    <w:rsid w:val="00783832"/>
    <w:rsid w:val="00795365"/>
    <w:rsid w:val="007A351D"/>
    <w:rsid w:val="007B7765"/>
    <w:rsid w:val="007C2453"/>
    <w:rsid w:val="007C5BDD"/>
    <w:rsid w:val="007D45E3"/>
    <w:rsid w:val="007D7655"/>
    <w:rsid w:val="007E6115"/>
    <w:rsid w:val="007F4609"/>
    <w:rsid w:val="00805EFF"/>
    <w:rsid w:val="00814468"/>
    <w:rsid w:val="0081678A"/>
    <w:rsid w:val="008176A1"/>
    <w:rsid w:val="00820005"/>
    <w:rsid w:val="00844318"/>
    <w:rsid w:val="00860102"/>
    <w:rsid w:val="00863F5D"/>
    <w:rsid w:val="00870890"/>
    <w:rsid w:val="00873602"/>
    <w:rsid w:val="00875D12"/>
    <w:rsid w:val="00876170"/>
    <w:rsid w:val="0088479D"/>
    <w:rsid w:val="00885329"/>
    <w:rsid w:val="00891F42"/>
    <w:rsid w:val="00896889"/>
    <w:rsid w:val="008A6E97"/>
    <w:rsid w:val="008B02E4"/>
    <w:rsid w:val="008C5714"/>
    <w:rsid w:val="008D10B2"/>
    <w:rsid w:val="00903896"/>
    <w:rsid w:val="00906F3D"/>
    <w:rsid w:val="00911939"/>
    <w:rsid w:val="009319F9"/>
    <w:rsid w:val="0094424E"/>
    <w:rsid w:val="00955642"/>
    <w:rsid w:val="009622DF"/>
    <w:rsid w:val="0096493F"/>
    <w:rsid w:val="00967DFF"/>
    <w:rsid w:val="00994341"/>
    <w:rsid w:val="009D1A48"/>
    <w:rsid w:val="009E1CE7"/>
    <w:rsid w:val="009E461A"/>
    <w:rsid w:val="009E4EA5"/>
    <w:rsid w:val="009F164B"/>
    <w:rsid w:val="009F323C"/>
    <w:rsid w:val="00A067C8"/>
    <w:rsid w:val="00A3392B"/>
    <w:rsid w:val="00A46717"/>
    <w:rsid w:val="00A70FB4"/>
    <w:rsid w:val="00A85E34"/>
    <w:rsid w:val="00A9144F"/>
    <w:rsid w:val="00A94B64"/>
    <w:rsid w:val="00AA3229"/>
    <w:rsid w:val="00AA7596"/>
    <w:rsid w:val="00AB3AE3"/>
    <w:rsid w:val="00AB5E52"/>
    <w:rsid w:val="00AB767B"/>
    <w:rsid w:val="00AC3B02"/>
    <w:rsid w:val="00AC3B7B"/>
    <w:rsid w:val="00AC5209"/>
    <w:rsid w:val="00AE0E34"/>
    <w:rsid w:val="00AE729E"/>
    <w:rsid w:val="00AE7752"/>
    <w:rsid w:val="00AF7FDA"/>
    <w:rsid w:val="00B5356E"/>
    <w:rsid w:val="00B62CFD"/>
    <w:rsid w:val="00B809AD"/>
    <w:rsid w:val="00B80CBD"/>
    <w:rsid w:val="00B859C5"/>
    <w:rsid w:val="00B86096"/>
    <w:rsid w:val="00B9630F"/>
    <w:rsid w:val="00B964D9"/>
    <w:rsid w:val="00BA0A7C"/>
    <w:rsid w:val="00BA517C"/>
    <w:rsid w:val="00BB3D05"/>
    <w:rsid w:val="00BB53D3"/>
    <w:rsid w:val="00BB73BE"/>
    <w:rsid w:val="00BC2D89"/>
    <w:rsid w:val="00BD6531"/>
    <w:rsid w:val="00BE05B2"/>
    <w:rsid w:val="00BF1908"/>
    <w:rsid w:val="00C15743"/>
    <w:rsid w:val="00C22D93"/>
    <w:rsid w:val="00C23458"/>
    <w:rsid w:val="00C23AC9"/>
    <w:rsid w:val="00C31120"/>
    <w:rsid w:val="00C34482"/>
    <w:rsid w:val="00C43648"/>
    <w:rsid w:val="00C50A9F"/>
    <w:rsid w:val="00C642FA"/>
    <w:rsid w:val="00C770E3"/>
    <w:rsid w:val="00C96BF4"/>
    <w:rsid w:val="00CC7622"/>
    <w:rsid w:val="00CC7CEC"/>
    <w:rsid w:val="00CD608F"/>
    <w:rsid w:val="00CF6BB7"/>
    <w:rsid w:val="00D04AA4"/>
    <w:rsid w:val="00D27982"/>
    <w:rsid w:val="00D33B86"/>
    <w:rsid w:val="00D41672"/>
    <w:rsid w:val="00D44968"/>
    <w:rsid w:val="00D53924"/>
    <w:rsid w:val="00D55D0C"/>
    <w:rsid w:val="00D96D8C"/>
    <w:rsid w:val="00DA6649"/>
    <w:rsid w:val="00DB7BE2"/>
    <w:rsid w:val="00DC1259"/>
    <w:rsid w:val="00DC1BD2"/>
    <w:rsid w:val="00DC2571"/>
    <w:rsid w:val="00DC487C"/>
    <w:rsid w:val="00DD05A8"/>
    <w:rsid w:val="00DD4335"/>
    <w:rsid w:val="00DD4E72"/>
    <w:rsid w:val="00DE1E7D"/>
    <w:rsid w:val="00DE6BF6"/>
    <w:rsid w:val="00E00709"/>
    <w:rsid w:val="00E1068A"/>
    <w:rsid w:val="00E24ADB"/>
    <w:rsid w:val="00E25884"/>
    <w:rsid w:val="00E25B55"/>
    <w:rsid w:val="00E31C2B"/>
    <w:rsid w:val="00E3614E"/>
    <w:rsid w:val="00E533B7"/>
    <w:rsid w:val="00E5426A"/>
    <w:rsid w:val="00E54642"/>
    <w:rsid w:val="00E80CBE"/>
    <w:rsid w:val="00E8337E"/>
    <w:rsid w:val="00E9269D"/>
    <w:rsid w:val="00E962E3"/>
    <w:rsid w:val="00EA37DE"/>
    <w:rsid w:val="00EB6C79"/>
    <w:rsid w:val="00EC37E9"/>
    <w:rsid w:val="00EC707B"/>
    <w:rsid w:val="00ED1EB1"/>
    <w:rsid w:val="00EF4894"/>
    <w:rsid w:val="00F038D8"/>
    <w:rsid w:val="00F06995"/>
    <w:rsid w:val="00F12D66"/>
    <w:rsid w:val="00F13623"/>
    <w:rsid w:val="00F44D1D"/>
    <w:rsid w:val="00F64E31"/>
    <w:rsid w:val="00F84B6D"/>
    <w:rsid w:val="00F957E8"/>
    <w:rsid w:val="00F976CA"/>
    <w:rsid w:val="00FA311A"/>
    <w:rsid w:val="00FA5FDA"/>
    <w:rsid w:val="00FB6AB3"/>
    <w:rsid w:val="00FD1419"/>
    <w:rsid w:val="00FD79E4"/>
    <w:rsid w:val="00FE2894"/>
    <w:rsid w:val="00FE51F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606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DD4E7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DD4E7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DD4E72"/>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DD4E72"/>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DD4E72"/>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DD4E72"/>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DD4E7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DD4E7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semiHidden/>
    <w:rsid w:val="003230C7"/>
    <w:rPr>
      <w:noProof w:val="0"/>
      <w:color w:val="808080"/>
    </w:rPr>
  </w:style>
  <w:style w:type="character" w:styleId="Hyperlink">
    <w:name w:val="Hyperlink"/>
    <w:uiPriority w:val="99"/>
    <w:unhideWhenUsed/>
    <w:rsid w:val="0073417C"/>
    <w:rPr>
      <w:noProof w:val="0"/>
      <w:color w:val="0000FF"/>
      <w:u w:val="single"/>
    </w:rPr>
  </w:style>
  <w:style w:type="paragraph" w:styleId="af0">
    <w:name w:val="List Paragraph"/>
    <w:basedOn w:val="a1"/>
    <w:uiPriority w:val="34"/>
    <w:qFormat/>
    <w:rsid w:val="005163F7"/>
    <w:pPr>
      <w:ind w:left="720"/>
      <w:contextualSpacing/>
    </w:pPr>
  </w:style>
  <w:style w:type="character" w:styleId="FollowedHyperlink">
    <w:name w:val="FollowedHyperlink"/>
    <w:basedOn w:val="a2"/>
    <w:semiHidden/>
    <w:unhideWhenUsed/>
    <w:rsid w:val="00DD4E72"/>
    <w:rPr>
      <w:noProof w:val="0"/>
      <w:color w:val="800080" w:themeColor="followedHyperlink"/>
      <w:u w:val="single"/>
    </w:rPr>
  </w:style>
  <w:style w:type="character" w:styleId="HTMLCite">
    <w:name w:val="HTML Cite"/>
    <w:basedOn w:val="a2"/>
    <w:semiHidden/>
    <w:unhideWhenUsed/>
    <w:rsid w:val="00DD4E72"/>
    <w:rPr>
      <w:i/>
      <w:iCs/>
      <w:noProof w:val="0"/>
    </w:rPr>
  </w:style>
  <w:style w:type="character" w:styleId="HTMLCode">
    <w:name w:val="HTML Code"/>
    <w:basedOn w:val="a2"/>
    <w:semiHidden/>
    <w:unhideWhenUsed/>
    <w:rsid w:val="00DD4E72"/>
    <w:rPr>
      <w:rFonts w:ascii="Consolas" w:hAnsi="Consolas"/>
      <w:noProof w:val="0"/>
      <w:sz w:val="20"/>
      <w:szCs w:val="20"/>
    </w:rPr>
  </w:style>
  <w:style w:type="character" w:styleId="HTMLDefinition">
    <w:name w:val="HTML Definition"/>
    <w:basedOn w:val="a2"/>
    <w:semiHidden/>
    <w:unhideWhenUsed/>
    <w:rsid w:val="00DD4E72"/>
    <w:rPr>
      <w:i/>
      <w:iCs/>
      <w:noProof w:val="0"/>
    </w:rPr>
  </w:style>
  <w:style w:type="character" w:styleId="HTMLVariable">
    <w:name w:val="HTML Variable"/>
    <w:basedOn w:val="a2"/>
    <w:semiHidden/>
    <w:unhideWhenUsed/>
    <w:rsid w:val="00DD4E72"/>
    <w:rPr>
      <w:i/>
      <w:iCs/>
      <w:noProof w:val="0"/>
    </w:rPr>
  </w:style>
  <w:style w:type="paragraph" w:styleId="HTML">
    <w:name w:val="HTML Preformatted"/>
    <w:basedOn w:val="a1"/>
    <w:link w:val="HTML0"/>
    <w:semiHidden/>
    <w:unhideWhenUsed/>
    <w:rsid w:val="00DD4E72"/>
    <w:rPr>
      <w:rFonts w:ascii="Consolas" w:hAnsi="Consolas"/>
      <w:sz w:val="20"/>
      <w:szCs w:val="20"/>
    </w:rPr>
  </w:style>
  <w:style w:type="character" w:customStyle="1" w:styleId="HTML0">
    <w:name w:val="HTML מעוצב מראש תו"/>
    <w:basedOn w:val="a2"/>
    <w:link w:val="HTML"/>
    <w:semiHidden/>
    <w:rsid w:val="00DD4E72"/>
    <w:rPr>
      <w:rFonts w:ascii="Consolas" w:hAnsi="Consolas" w:cs="David"/>
      <w:noProof w:val="0"/>
    </w:rPr>
  </w:style>
  <w:style w:type="paragraph" w:styleId="Index1">
    <w:name w:val="index 1"/>
    <w:basedOn w:val="a1"/>
    <w:next w:val="a1"/>
    <w:autoRedefine/>
    <w:semiHidden/>
    <w:unhideWhenUsed/>
    <w:rsid w:val="00DD4E72"/>
    <w:pPr>
      <w:ind w:left="240" w:hanging="240"/>
    </w:pPr>
  </w:style>
  <w:style w:type="paragraph" w:styleId="Index2">
    <w:name w:val="index 2"/>
    <w:basedOn w:val="a1"/>
    <w:next w:val="a1"/>
    <w:autoRedefine/>
    <w:semiHidden/>
    <w:unhideWhenUsed/>
    <w:rsid w:val="00DD4E72"/>
    <w:pPr>
      <w:ind w:left="480" w:hanging="240"/>
    </w:pPr>
  </w:style>
  <w:style w:type="paragraph" w:styleId="Index3">
    <w:name w:val="index 3"/>
    <w:basedOn w:val="a1"/>
    <w:next w:val="a1"/>
    <w:autoRedefine/>
    <w:semiHidden/>
    <w:unhideWhenUsed/>
    <w:rsid w:val="00DD4E72"/>
    <w:pPr>
      <w:ind w:left="720" w:hanging="240"/>
    </w:pPr>
  </w:style>
  <w:style w:type="paragraph" w:styleId="Index4">
    <w:name w:val="index 4"/>
    <w:basedOn w:val="a1"/>
    <w:next w:val="a1"/>
    <w:autoRedefine/>
    <w:semiHidden/>
    <w:unhideWhenUsed/>
    <w:rsid w:val="00DD4E72"/>
    <w:pPr>
      <w:ind w:left="960" w:hanging="240"/>
    </w:pPr>
  </w:style>
  <w:style w:type="paragraph" w:styleId="Index5">
    <w:name w:val="index 5"/>
    <w:basedOn w:val="a1"/>
    <w:next w:val="a1"/>
    <w:autoRedefine/>
    <w:semiHidden/>
    <w:unhideWhenUsed/>
    <w:rsid w:val="00DD4E72"/>
    <w:pPr>
      <w:ind w:left="1200" w:hanging="240"/>
    </w:pPr>
  </w:style>
  <w:style w:type="paragraph" w:styleId="Index6">
    <w:name w:val="index 6"/>
    <w:basedOn w:val="a1"/>
    <w:next w:val="a1"/>
    <w:autoRedefine/>
    <w:semiHidden/>
    <w:unhideWhenUsed/>
    <w:rsid w:val="00DD4E72"/>
    <w:pPr>
      <w:ind w:left="1440" w:hanging="240"/>
    </w:pPr>
  </w:style>
  <w:style w:type="paragraph" w:styleId="Index7">
    <w:name w:val="index 7"/>
    <w:basedOn w:val="a1"/>
    <w:next w:val="a1"/>
    <w:autoRedefine/>
    <w:semiHidden/>
    <w:unhideWhenUsed/>
    <w:rsid w:val="00DD4E72"/>
    <w:pPr>
      <w:ind w:left="1680" w:hanging="240"/>
    </w:pPr>
  </w:style>
  <w:style w:type="paragraph" w:styleId="Index8">
    <w:name w:val="index 8"/>
    <w:basedOn w:val="a1"/>
    <w:next w:val="a1"/>
    <w:autoRedefine/>
    <w:semiHidden/>
    <w:unhideWhenUsed/>
    <w:rsid w:val="00DD4E72"/>
    <w:pPr>
      <w:ind w:left="1920" w:hanging="240"/>
    </w:pPr>
  </w:style>
  <w:style w:type="paragraph" w:styleId="Index9">
    <w:name w:val="index 9"/>
    <w:basedOn w:val="a1"/>
    <w:next w:val="a1"/>
    <w:autoRedefine/>
    <w:semiHidden/>
    <w:unhideWhenUsed/>
    <w:rsid w:val="00DD4E72"/>
    <w:pPr>
      <w:ind w:left="2160" w:hanging="240"/>
    </w:pPr>
  </w:style>
  <w:style w:type="paragraph" w:styleId="NormalWeb">
    <w:name w:val="Normal (Web)"/>
    <w:basedOn w:val="a1"/>
    <w:semiHidden/>
    <w:unhideWhenUsed/>
    <w:rsid w:val="00DD4E72"/>
    <w:rPr>
      <w:rFonts w:cs="Times New Roman"/>
    </w:rPr>
  </w:style>
  <w:style w:type="paragraph" w:styleId="TOC1">
    <w:name w:val="toc 1"/>
    <w:basedOn w:val="a1"/>
    <w:next w:val="a1"/>
    <w:autoRedefine/>
    <w:semiHidden/>
    <w:unhideWhenUsed/>
    <w:rsid w:val="00DD4E72"/>
    <w:pPr>
      <w:spacing w:after="100"/>
    </w:pPr>
  </w:style>
  <w:style w:type="paragraph" w:styleId="TOC2">
    <w:name w:val="toc 2"/>
    <w:basedOn w:val="a1"/>
    <w:next w:val="a1"/>
    <w:autoRedefine/>
    <w:semiHidden/>
    <w:unhideWhenUsed/>
    <w:rsid w:val="00DD4E72"/>
    <w:pPr>
      <w:spacing w:after="100"/>
      <w:ind w:left="240"/>
    </w:pPr>
  </w:style>
  <w:style w:type="paragraph" w:styleId="TOC3">
    <w:name w:val="toc 3"/>
    <w:basedOn w:val="a1"/>
    <w:next w:val="a1"/>
    <w:autoRedefine/>
    <w:semiHidden/>
    <w:unhideWhenUsed/>
    <w:rsid w:val="00DD4E72"/>
    <w:pPr>
      <w:spacing w:after="100"/>
      <w:ind w:left="480"/>
    </w:pPr>
  </w:style>
  <w:style w:type="paragraph" w:styleId="TOC4">
    <w:name w:val="toc 4"/>
    <w:basedOn w:val="a1"/>
    <w:next w:val="a1"/>
    <w:autoRedefine/>
    <w:semiHidden/>
    <w:unhideWhenUsed/>
    <w:rsid w:val="00DD4E72"/>
    <w:pPr>
      <w:spacing w:after="100"/>
      <w:ind w:left="720"/>
    </w:pPr>
  </w:style>
  <w:style w:type="paragraph" w:styleId="TOC5">
    <w:name w:val="toc 5"/>
    <w:basedOn w:val="a1"/>
    <w:next w:val="a1"/>
    <w:autoRedefine/>
    <w:semiHidden/>
    <w:unhideWhenUsed/>
    <w:rsid w:val="00DD4E72"/>
    <w:pPr>
      <w:spacing w:after="100"/>
      <w:ind w:left="960"/>
    </w:pPr>
  </w:style>
  <w:style w:type="paragraph" w:styleId="TOC6">
    <w:name w:val="toc 6"/>
    <w:basedOn w:val="a1"/>
    <w:next w:val="a1"/>
    <w:autoRedefine/>
    <w:semiHidden/>
    <w:unhideWhenUsed/>
    <w:rsid w:val="00DD4E72"/>
    <w:pPr>
      <w:spacing w:after="100"/>
      <w:ind w:left="1200"/>
    </w:pPr>
  </w:style>
  <w:style w:type="paragraph" w:styleId="TOC7">
    <w:name w:val="toc 7"/>
    <w:basedOn w:val="a1"/>
    <w:next w:val="a1"/>
    <w:autoRedefine/>
    <w:semiHidden/>
    <w:unhideWhenUsed/>
    <w:rsid w:val="00DD4E72"/>
    <w:pPr>
      <w:spacing w:after="100"/>
      <w:ind w:left="1440"/>
    </w:pPr>
  </w:style>
  <w:style w:type="paragraph" w:styleId="TOC8">
    <w:name w:val="toc 8"/>
    <w:basedOn w:val="a1"/>
    <w:next w:val="a1"/>
    <w:autoRedefine/>
    <w:semiHidden/>
    <w:unhideWhenUsed/>
    <w:rsid w:val="00DD4E72"/>
    <w:pPr>
      <w:spacing w:after="100"/>
      <w:ind w:left="1680"/>
    </w:pPr>
  </w:style>
  <w:style w:type="paragraph" w:styleId="TOC9">
    <w:name w:val="toc 9"/>
    <w:basedOn w:val="a1"/>
    <w:next w:val="a1"/>
    <w:autoRedefine/>
    <w:semiHidden/>
    <w:unhideWhenUsed/>
    <w:rsid w:val="00DD4E72"/>
    <w:pPr>
      <w:spacing w:after="100"/>
      <w:ind w:left="1920"/>
    </w:pPr>
  </w:style>
  <w:style w:type="table" w:styleId="-1">
    <w:name w:val="Table 3D effects 1"/>
    <w:basedOn w:val="a3"/>
    <w:semiHidden/>
    <w:unhideWhenUsed/>
    <w:rsid w:val="00DD4E72"/>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DD4E72"/>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DD4E72"/>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1">
    <w:name w:val="Bibliography"/>
    <w:basedOn w:val="a1"/>
    <w:next w:val="a1"/>
    <w:uiPriority w:val="37"/>
    <w:semiHidden/>
    <w:unhideWhenUsed/>
    <w:rsid w:val="00DD4E72"/>
  </w:style>
  <w:style w:type="paragraph" w:styleId="af2">
    <w:name w:val="Salutation"/>
    <w:basedOn w:val="a1"/>
    <w:next w:val="a1"/>
    <w:link w:val="af3"/>
    <w:rsid w:val="00DD4E72"/>
  </w:style>
  <w:style w:type="character" w:customStyle="1" w:styleId="af3">
    <w:name w:val="ברכה תו"/>
    <w:basedOn w:val="a2"/>
    <w:link w:val="af2"/>
    <w:rsid w:val="00DD4E72"/>
    <w:rPr>
      <w:rFonts w:cs="David"/>
      <w:noProof w:val="0"/>
      <w:sz w:val="24"/>
      <w:szCs w:val="24"/>
    </w:rPr>
  </w:style>
  <w:style w:type="paragraph" w:styleId="af4">
    <w:name w:val="Body Text"/>
    <w:basedOn w:val="a1"/>
    <w:link w:val="af5"/>
    <w:semiHidden/>
    <w:unhideWhenUsed/>
    <w:rsid w:val="00DD4E72"/>
    <w:pPr>
      <w:spacing w:after="120"/>
    </w:pPr>
  </w:style>
  <w:style w:type="character" w:customStyle="1" w:styleId="af5">
    <w:name w:val="גוף טקסט תו"/>
    <w:basedOn w:val="a2"/>
    <w:link w:val="af4"/>
    <w:semiHidden/>
    <w:rsid w:val="00DD4E72"/>
    <w:rPr>
      <w:rFonts w:cs="David"/>
      <w:noProof w:val="0"/>
      <w:sz w:val="24"/>
      <w:szCs w:val="24"/>
    </w:rPr>
  </w:style>
  <w:style w:type="paragraph" w:styleId="23">
    <w:name w:val="Body Text 2"/>
    <w:basedOn w:val="a1"/>
    <w:link w:val="24"/>
    <w:semiHidden/>
    <w:unhideWhenUsed/>
    <w:rsid w:val="00DD4E72"/>
    <w:pPr>
      <w:spacing w:after="120" w:line="480" w:lineRule="auto"/>
    </w:pPr>
  </w:style>
  <w:style w:type="character" w:customStyle="1" w:styleId="24">
    <w:name w:val="גוף טקסט 2 תו"/>
    <w:basedOn w:val="a2"/>
    <w:link w:val="23"/>
    <w:semiHidden/>
    <w:rsid w:val="00DD4E72"/>
    <w:rPr>
      <w:rFonts w:cs="David"/>
      <w:noProof w:val="0"/>
      <w:sz w:val="24"/>
      <w:szCs w:val="24"/>
    </w:rPr>
  </w:style>
  <w:style w:type="paragraph" w:styleId="33">
    <w:name w:val="Body Text 3"/>
    <w:basedOn w:val="a1"/>
    <w:link w:val="34"/>
    <w:semiHidden/>
    <w:unhideWhenUsed/>
    <w:rsid w:val="00DD4E72"/>
    <w:pPr>
      <w:spacing w:after="120"/>
    </w:pPr>
    <w:rPr>
      <w:sz w:val="16"/>
      <w:szCs w:val="16"/>
    </w:rPr>
  </w:style>
  <w:style w:type="character" w:customStyle="1" w:styleId="34">
    <w:name w:val="גוף טקסט 3 תו"/>
    <w:basedOn w:val="a2"/>
    <w:link w:val="33"/>
    <w:semiHidden/>
    <w:rsid w:val="00DD4E72"/>
    <w:rPr>
      <w:rFonts w:cs="David"/>
      <w:noProof w:val="0"/>
      <w:sz w:val="16"/>
      <w:szCs w:val="16"/>
    </w:rPr>
  </w:style>
  <w:style w:type="character" w:styleId="HTML1">
    <w:name w:val="HTML Sample"/>
    <w:basedOn w:val="a2"/>
    <w:semiHidden/>
    <w:unhideWhenUsed/>
    <w:rsid w:val="00DD4E72"/>
    <w:rPr>
      <w:rFonts w:ascii="Consolas" w:hAnsi="Consolas"/>
      <w:noProof w:val="0"/>
      <w:sz w:val="24"/>
      <w:szCs w:val="24"/>
    </w:rPr>
  </w:style>
  <w:style w:type="character" w:styleId="af6">
    <w:name w:val="Emphasis"/>
    <w:basedOn w:val="a2"/>
    <w:qFormat/>
    <w:rsid w:val="00DD4E72"/>
    <w:rPr>
      <w:i/>
      <w:iCs/>
      <w:noProof w:val="0"/>
    </w:rPr>
  </w:style>
  <w:style w:type="character" w:styleId="af7">
    <w:name w:val="Intense Emphasis"/>
    <w:basedOn w:val="a2"/>
    <w:uiPriority w:val="21"/>
    <w:qFormat/>
    <w:rsid w:val="00DD4E72"/>
    <w:rPr>
      <w:i/>
      <w:iCs/>
      <w:noProof w:val="0"/>
      <w:color w:val="4F81BD" w:themeColor="accent1"/>
    </w:rPr>
  </w:style>
  <w:style w:type="character" w:styleId="af8">
    <w:name w:val="Subtle Emphasis"/>
    <w:basedOn w:val="a2"/>
    <w:uiPriority w:val="19"/>
    <w:qFormat/>
    <w:rsid w:val="00DD4E72"/>
    <w:rPr>
      <w:i/>
      <w:iCs/>
      <w:noProof w:val="0"/>
      <w:color w:val="404040" w:themeColor="text1" w:themeTint="BF"/>
    </w:rPr>
  </w:style>
  <w:style w:type="paragraph" w:styleId="af9">
    <w:name w:val="List Continue"/>
    <w:basedOn w:val="a1"/>
    <w:semiHidden/>
    <w:unhideWhenUsed/>
    <w:rsid w:val="00DD4E72"/>
    <w:pPr>
      <w:spacing w:after="120"/>
      <w:ind w:left="283"/>
      <w:contextualSpacing/>
    </w:pPr>
  </w:style>
  <w:style w:type="paragraph" w:styleId="25">
    <w:name w:val="List Continue 2"/>
    <w:basedOn w:val="a1"/>
    <w:semiHidden/>
    <w:unhideWhenUsed/>
    <w:rsid w:val="00DD4E72"/>
    <w:pPr>
      <w:spacing w:after="120"/>
      <w:ind w:left="566"/>
      <w:contextualSpacing/>
    </w:pPr>
  </w:style>
  <w:style w:type="paragraph" w:styleId="35">
    <w:name w:val="List Continue 3"/>
    <w:basedOn w:val="a1"/>
    <w:semiHidden/>
    <w:unhideWhenUsed/>
    <w:rsid w:val="00DD4E72"/>
    <w:pPr>
      <w:spacing w:after="120"/>
      <w:ind w:left="849"/>
      <w:contextualSpacing/>
    </w:pPr>
  </w:style>
  <w:style w:type="paragraph" w:styleId="42">
    <w:name w:val="List Continue 4"/>
    <w:basedOn w:val="a1"/>
    <w:semiHidden/>
    <w:unhideWhenUsed/>
    <w:rsid w:val="00DD4E72"/>
    <w:pPr>
      <w:spacing w:after="120"/>
      <w:ind w:left="1132"/>
      <w:contextualSpacing/>
    </w:pPr>
  </w:style>
  <w:style w:type="paragraph" w:styleId="53">
    <w:name w:val="List Continue 5"/>
    <w:basedOn w:val="a1"/>
    <w:semiHidden/>
    <w:unhideWhenUsed/>
    <w:rsid w:val="00DD4E72"/>
    <w:pPr>
      <w:spacing w:after="120"/>
      <w:ind w:left="1415"/>
      <w:contextualSpacing/>
    </w:pPr>
  </w:style>
  <w:style w:type="character" w:styleId="afa">
    <w:name w:val="Intense Reference"/>
    <w:basedOn w:val="a2"/>
    <w:uiPriority w:val="32"/>
    <w:qFormat/>
    <w:rsid w:val="00DD4E72"/>
    <w:rPr>
      <w:b/>
      <w:bCs/>
      <w:smallCaps/>
      <w:noProof w:val="0"/>
      <w:color w:val="4F81BD" w:themeColor="accent1"/>
      <w:spacing w:val="5"/>
    </w:rPr>
  </w:style>
  <w:style w:type="character" w:styleId="afb">
    <w:name w:val="endnote reference"/>
    <w:basedOn w:val="a2"/>
    <w:semiHidden/>
    <w:unhideWhenUsed/>
    <w:rsid w:val="00DD4E72"/>
    <w:rPr>
      <w:noProof w:val="0"/>
      <w:vertAlign w:val="superscript"/>
    </w:rPr>
  </w:style>
  <w:style w:type="character" w:styleId="afc">
    <w:name w:val="footnote reference"/>
    <w:basedOn w:val="a2"/>
    <w:semiHidden/>
    <w:unhideWhenUsed/>
    <w:rsid w:val="00DD4E72"/>
    <w:rPr>
      <w:noProof w:val="0"/>
      <w:vertAlign w:val="superscript"/>
    </w:rPr>
  </w:style>
  <w:style w:type="character" w:styleId="afd">
    <w:name w:val="Subtle Reference"/>
    <w:basedOn w:val="a2"/>
    <w:uiPriority w:val="31"/>
    <w:qFormat/>
    <w:rsid w:val="00DD4E72"/>
    <w:rPr>
      <w:smallCaps/>
      <w:noProof w:val="0"/>
      <w:color w:val="5A5A5A" w:themeColor="text1" w:themeTint="A5"/>
    </w:rPr>
  </w:style>
  <w:style w:type="table" w:styleId="afe">
    <w:name w:val="Light Shading"/>
    <w:basedOn w:val="a3"/>
    <w:uiPriority w:val="60"/>
    <w:semiHidden/>
    <w:unhideWhenUsed/>
    <w:rsid w:val="00DD4E72"/>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DD4E72"/>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DD4E72"/>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DD4E72"/>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DD4E72"/>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DD4E72"/>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DD4E72"/>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DD4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DD4E7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DD4E7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DD4E7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DD4E7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DD4E7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DD4E7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DD4E7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DD4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DD4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DD4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DD4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DD4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DD4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
    <w:name w:val="Colorful Shading"/>
    <w:basedOn w:val="a3"/>
    <w:uiPriority w:val="71"/>
    <w:semiHidden/>
    <w:unhideWhenUsed/>
    <w:rsid w:val="00DD4E72"/>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DD4E72"/>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DD4E72"/>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DD4E72"/>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DD4E72"/>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DD4E72"/>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DD4E72"/>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0">
    <w:name w:val="Strong"/>
    <w:basedOn w:val="a2"/>
    <w:qFormat/>
    <w:rsid w:val="00DD4E72"/>
    <w:rPr>
      <w:b/>
      <w:bCs/>
      <w:noProof w:val="0"/>
    </w:rPr>
  </w:style>
  <w:style w:type="paragraph" w:styleId="aff1">
    <w:name w:val="Signature"/>
    <w:basedOn w:val="a1"/>
    <w:link w:val="aff2"/>
    <w:semiHidden/>
    <w:unhideWhenUsed/>
    <w:rsid w:val="00DD4E72"/>
    <w:pPr>
      <w:ind w:left="4252"/>
    </w:pPr>
  </w:style>
  <w:style w:type="character" w:customStyle="1" w:styleId="aff2">
    <w:name w:val="חתימה תו"/>
    <w:basedOn w:val="a2"/>
    <w:link w:val="aff1"/>
    <w:semiHidden/>
    <w:rsid w:val="00DD4E72"/>
    <w:rPr>
      <w:rFonts w:cs="David"/>
      <w:noProof w:val="0"/>
      <w:sz w:val="24"/>
      <w:szCs w:val="24"/>
    </w:rPr>
  </w:style>
  <w:style w:type="paragraph" w:styleId="aff3">
    <w:name w:val="E-mail Signature"/>
    <w:basedOn w:val="a1"/>
    <w:link w:val="aff4"/>
    <w:semiHidden/>
    <w:unhideWhenUsed/>
    <w:rsid w:val="00DD4E72"/>
  </w:style>
  <w:style w:type="character" w:customStyle="1" w:styleId="aff4">
    <w:name w:val="חתימת דואר אלקטרוני תו"/>
    <w:basedOn w:val="a2"/>
    <w:link w:val="aff3"/>
    <w:semiHidden/>
    <w:rsid w:val="00DD4E72"/>
    <w:rPr>
      <w:rFonts w:cs="David"/>
      <w:noProof w:val="0"/>
      <w:sz w:val="24"/>
      <w:szCs w:val="24"/>
    </w:rPr>
  </w:style>
  <w:style w:type="table" w:styleId="aff5">
    <w:name w:val="Table Elegant"/>
    <w:basedOn w:val="a3"/>
    <w:semiHidden/>
    <w:unhideWhenUsed/>
    <w:rsid w:val="00DD4E72"/>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6">
    <w:name w:val="Table Professional"/>
    <w:basedOn w:val="a3"/>
    <w:semiHidden/>
    <w:unhideWhenUsed/>
    <w:rsid w:val="00DD4E72"/>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DD4E72"/>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DD4E72"/>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Contemporary"/>
    <w:basedOn w:val="a3"/>
    <w:semiHidden/>
    <w:unhideWhenUsed/>
    <w:rsid w:val="00DD4E72"/>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DD4E72"/>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DD4E72"/>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DD4E72"/>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DD4E72"/>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DD4E72"/>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DD4E72"/>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DD4E72"/>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DD4E72"/>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DD4E72"/>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DD4E72"/>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DD4E7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DD4E7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DD4E7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DD4E7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DD4E7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DD4E72"/>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DD4E72"/>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DD4E72"/>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DD4E72"/>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DD4E72"/>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DD4E72"/>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DD4E72"/>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DD4E72"/>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DD4E72"/>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DD4E72"/>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DD4E72"/>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DD4E72"/>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DD4E72"/>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DD4E72"/>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DD4E72"/>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DD4E72"/>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DD4E72"/>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DD4E7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DD4E72"/>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DD4E72"/>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DD4E72"/>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DD4E72"/>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DD4E72"/>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DD4E72"/>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DD4E7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DD4E7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DD4E7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DD4E7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DD4E7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DD4E7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DD4E7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DD4E72"/>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DD4E72"/>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DD4E72"/>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DD4E72"/>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DD4E72"/>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DD4E72"/>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DD4E72"/>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DD4E72"/>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DD4E72"/>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DD4E72"/>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DD4E72"/>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DD4E72"/>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DD4E72"/>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DD4E72"/>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DD4E7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DD4E72"/>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DD4E72"/>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DD4E72"/>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DD4E72"/>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DD4E72"/>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DD4E72"/>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DD4E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DD4E7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DD4E72"/>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DD4E72"/>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DD4E72"/>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DD4E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DD4E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DD4E7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DD4E72"/>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DD4E72"/>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DD4E72"/>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DD4E72"/>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DD4E72"/>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DD4E72"/>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DD4E7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DD4E7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DD4E7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DD4E7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DD4E7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DD4E7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DD4E7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DD4E7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DD4E7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DD4E7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DD4E7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DD4E7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DD4E7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DD4E7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DD4E7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DD4E7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DD4E7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DD4E7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DD4E7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DD4E7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DD4E7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DD4E7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DD4E7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DD4E72"/>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DD4E72"/>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DD4E7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DD4E7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DD4E7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DD4E7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DD4E7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DD4E72"/>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DD4E72"/>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DD4E7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DD4E7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DD4E7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8">
    <w:name w:val="Block Text"/>
    <w:basedOn w:val="a1"/>
    <w:semiHidden/>
    <w:unhideWhenUsed/>
    <w:rsid w:val="00DD4E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9">
    <w:name w:val="endnote text"/>
    <w:basedOn w:val="a1"/>
    <w:link w:val="affa"/>
    <w:semiHidden/>
    <w:unhideWhenUsed/>
    <w:rsid w:val="00DD4E72"/>
    <w:rPr>
      <w:sz w:val="20"/>
      <w:szCs w:val="20"/>
    </w:rPr>
  </w:style>
  <w:style w:type="character" w:customStyle="1" w:styleId="affa">
    <w:name w:val="טקסט הערת סיום תו"/>
    <w:basedOn w:val="a2"/>
    <w:link w:val="aff9"/>
    <w:semiHidden/>
    <w:rsid w:val="00DD4E72"/>
    <w:rPr>
      <w:rFonts w:cs="David"/>
      <w:noProof w:val="0"/>
    </w:rPr>
  </w:style>
  <w:style w:type="paragraph" w:styleId="affb">
    <w:name w:val="footnote text"/>
    <w:basedOn w:val="a1"/>
    <w:link w:val="affc"/>
    <w:semiHidden/>
    <w:unhideWhenUsed/>
    <w:rsid w:val="00DD4E72"/>
    <w:rPr>
      <w:sz w:val="20"/>
      <w:szCs w:val="20"/>
    </w:rPr>
  </w:style>
  <w:style w:type="character" w:customStyle="1" w:styleId="affc">
    <w:name w:val="טקסט הערת שוליים תו"/>
    <w:basedOn w:val="a2"/>
    <w:link w:val="affb"/>
    <w:semiHidden/>
    <w:rsid w:val="00DD4E72"/>
    <w:rPr>
      <w:rFonts w:cs="David"/>
      <w:noProof w:val="0"/>
    </w:rPr>
  </w:style>
  <w:style w:type="paragraph" w:styleId="affd">
    <w:name w:val="macro"/>
    <w:link w:val="affe"/>
    <w:semiHidden/>
    <w:unhideWhenUsed/>
    <w:rsid w:val="00DD4E72"/>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e">
    <w:name w:val="טקסט מאקרו תו"/>
    <w:basedOn w:val="a2"/>
    <w:link w:val="affd"/>
    <w:semiHidden/>
    <w:rsid w:val="00DD4E72"/>
    <w:rPr>
      <w:rFonts w:ascii="Consolas" w:hAnsi="Consolas" w:cs="David"/>
      <w:noProof w:val="0"/>
    </w:rPr>
  </w:style>
  <w:style w:type="paragraph" w:styleId="afff">
    <w:name w:val="Plain Text"/>
    <w:basedOn w:val="a1"/>
    <w:link w:val="afff0"/>
    <w:semiHidden/>
    <w:unhideWhenUsed/>
    <w:rsid w:val="00DD4E72"/>
    <w:rPr>
      <w:rFonts w:ascii="Consolas" w:hAnsi="Consolas"/>
      <w:sz w:val="21"/>
      <w:szCs w:val="21"/>
    </w:rPr>
  </w:style>
  <w:style w:type="character" w:customStyle="1" w:styleId="afff0">
    <w:name w:val="טקסט רגיל תו"/>
    <w:basedOn w:val="a2"/>
    <w:link w:val="afff"/>
    <w:semiHidden/>
    <w:rsid w:val="00DD4E72"/>
    <w:rPr>
      <w:rFonts w:ascii="Consolas" w:hAnsi="Consolas" w:cs="David"/>
      <w:noProof w:val="0"/>
      <w:sz w:val="21"/>
      <w:szCs w:val="21"/>
    </w:rPr>
  </w:style>
  <w:style w:type="character" w:styleId="afff1">
    <w:name w:val="Book Title"/>
    <w:basedOn w:val="a2"/>
    <w:uiPriority w:val="33"/>
    <w:qFormat/>
    <w:rsid w:val="00DD4E72"/>
    <w:rPr>
      <w:b/>
      <w:bCs/>
      <w:i/>
      <w:iCs/>
      <w:noProof w:val="0"/>
      <w:spacing w:val="5"/>
    </w:rPr>
  </w:style>
  <w:style w:type="character" w:customStyle="1" w:styleId="10">
    <w:name w:val="כותרת 1 תו"/>
    <w:basedOn w:val="a2"/>
    <w:link w:val="1"/>
    <w:rsid w:val="00DD4E72"/>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DD4E72"/>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DD4E72"/>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DD4E72"/>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DD4E72"/>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DD4E72"/>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DD4E72"/>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DD4E72"/>
    <w:rPr>
      <w:rFonts w:asciiTheme="majorHAnsi" w:eastAsiaTheme="majorEastAsia" w:hAnsiTheme="majorHAnsi" w:cstheme="majorBidi"/>
      <w:i/>
      <w:iCs/>
      <w:noProof w:val="0"/>
      <w:color w:val="272727" w:themeColor="text1" w:themeTint="D8"/>
      <w:sz w:val="21"/>
      <w:szCs w:val="21"/>
    </w:rPr>
  </w:style>
  <w:style w:type="paragraph" w:styleId="afff2">
    <w:name w:val="index heading"/>
    <w:basedOn w:val="a1"/>
    <w:next w:val="Index1"/>
    <w:semiHidden/>
    <w:unhideWhenUsed/>
    <w:rsid w:val="00DD4E72"/>
    <w:rPr>
      <w:rFonts w:asciiTheme="majorHAnsi" w:eastAsiaTheme="majorEastAsia" w:hAnsiTheme="majorHAnsi" w:cstheme="majorBidi"/>
      <w:b/>
      <w:bCs/>
    </w:rPr>
  </w:style>
  <w:style w:type="paragraph" w:styleId="afff3">
    <w:name w:val="Note Heading"/>
    <w:basedOn w:val="a1"/>
    <w:next w:val="a1"/>
    <w:link w:val="afff4"/>
    <w:semiHidden/>
    <w:unhideWhenUsed/>
    <w:rsid w:val="00DD4E72"/>
  </w:style>
  <w:style w:type="character" w:customStyle="1" w:styleId="afff4">
    <w:name w:val="כותרת הערות תו"/>
    <w:basedOn w:val="a2"/>
    <w:link w:val="afff3"/>
    <w:semiHidden/>
    <w:rsid w:val="00DD4E72"/>
    <w:rPr>
      <w:rFonts w:cs="David"/>
      <w:noProof w:val="0"/>
      <w:sz w:val="24"/>
      <w:szCs w:val="24"/>
    </w:rPr>
  </w:style>
  <w:style w:type="paragraph" w:styleId="afff5">
    <w:name w:val="Title"/>
    <w:basedOn w:val="a1"/>
    <w:next w:val="a1"/>
    <w:link w:val="afff6"/>
    <w:qFormat/>
    <w:rsid w:val="00DD4E72"/>
    <w:pPr>
      <w:contextualSpacing/>
    </w:pPr>
    <w:rPr>
      <w:rFonts w:asciiTheme="majorHAnsi" w:eastAsiaTheme="majorEastAsia" w:hAnsiTheme="majorHAnsi" w:cstheme="majorBidi"/>
      <w:spacing w:val="-10"/>
      <w:kern w:val="28"/>
      <w:sz w:val="56"/>
      <w:szCs w:val="56"/>
    </w:rPr>
  </w:style>
  <w:style w:type="character" w:customStyle="1" w:styleId="afff6">
    <w:name w:val="כותרת טקסט תו"/>
    <w:basedOn w:val="a2"/>
    <w:link w:val="afff5"/>
    <w:rsid w:val="00DD4E72"/>
    <w:rPr>
      <w:rFonts w:asciiTheme="majorHAnsi" w:eastAsiaTheme="majorEastAsia" w:hAnsiTheme="majorHAnsi" w:cstheme="majorBidi"/>
      <w:noProof w:val="0"/>
      <w:spacing w:val="-10"/>
      <w:kern w:val="28"/>
      <w:sz w:val="56"/>
      <w:szCs w:val="56"/>
    </w:rPr>
  </w:style>
  <w:style w:type="paragraph" w:styleId="afff7">
    <w:name w:val="Subtitle"/>
    <w:basedOn w:val="a1"/>
    <w:next w:val="a1"/>
    <w:link w:val="afff8"/>
    <w:qFormat/>
    <w:rsid w:val="00DD4E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8">
    <w:name w:val="כותרת משנה תו"/>
    <w:basedOn w:val="a2"/>
    <w:link w:val="afff7"/>
    <w:rsid w:val="00DD4E72"/>
    <w:rPr>
      <w:rFonts w:asciiTheme="minorHAnsi" w:eastAsiaTheme="minorEastAsia" w:hAnsiTheme="minorHAnsi" w:cstheme="minorBidi"/>
      <w:noProof w:val="0"/>
      <w:color w:val="5A5A5A" w:themeColor="text1" w:themeTint="A5"/>
      <w:spacing w:val="15"/>
      <w:sz w:val="22"/>
      <w:szCs w:val="22"/>
    </w:rPr>
  </w:style>
  <w:style w:type="paragraph" w:styleId="afff9">
    <w:name w:val="Message Header"/>
    <w:basedOn w:val="a1"/>
    <w:link w:val="afffa"/>
    <w:semiHidden/>
    <w:unhideWhenUsed/>
    <w:rsid w:val="00DD4E7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a">
    <w:name w:val="כותרת עליונה של הודעה תו"/>
    <w:basedOn w:val="a2"/>
    <w:link w:val="afff9"/>
    <w:semiHidden/>
    <w:rsid w:val="00DD4E72"/>
    <w:rPr>
      <w:rFonts w:asciiTheme="majorHAnsi" w:eastAsiaTheme="majorEastAsia" w:hAnsiTheme="majorHAnsi" w:cstheme="majorBidi"/>
      <w:noProof w:val="0"/>
      <w:sz w:val="24"/>
      <w:szCs w:val="24"/>
      <w:shd w:val="pct20" w:color="auto" w:fill="auto"/>
    </w:rPr>
  </w:style>
  <w:style w:type="paragraph" w:styleId="afffb">
    <w:name w:val="toa heading"/>
    <w:basedOn w:val="a1"/>
    <w:next w:val="a1"/>
    <w:semiHidden/>
    <w:unhideWhenUsed/>
    <w:rsid w:val="00DD4E72"/>
    <w:pPr>
      <w:spacing w:before="120"/>
    </w:pPr>
    <w:rPr>
      <w:rFonts w:asciiTheme="majorHAnsi" w:eastAsiaTheme="majorEastAsia" w:hAnsiTheme="majorHAnsi" w:cstheme="majorBidi"/>
      <w:b/>
      <w:bCs/>
    </w:rPr>
  </w:style>
  <w:style w:type="paragraph" w:styleId="afffc">
    <w:name w:val="TOC Heading"/>
    <w:basedOn w:val="1"/>
    <w:next w:val="a1"/>
    <w:uiPriority w:val="39"/>
    <w:semiHidden/>
    <w:unhideWhenUsed/>
    <w:qFormat/>
    <w:rsid w:val="00DD4E72"/>
    <w:pPr>
      <w:outlineLvl w:val="9"/>
    </w:pPr>
  </w:style>
  <w:style w:type="paragraph" w:styleId="afffd">
    <w:name w:val="caption"/>
    <w:basedOn w:val="a1"/>
    <w:next w:val="a1"/>
    <w:semiHidden/>
    <w:unhideWhenUsed/>
    <w:qFormat/>
    <w:rsid w:val="00DD4E72"/>
    <w:pPr>
      <w:spacing w:after="200"/>
    </w:pPr>
    <w:rPr>
      <w:i/>
      <w:iCs/>
      <w:color w:val="1F497D" w:themeColor="text2"/>
      <w:sz w:val="18"/>
      <w:szCs w:val="18"/>
    </w:rPr>
  </w:style>
  <w:style w:type="paragraph" w:styleId="afffe">
    <w:name w:val="Body Text Indent"/>
    <w:basedOn w:val="a1"/>
    <w:link w:val="affff"/>
    <w:semiHidden/>
    <w:unhideWhenUsed/>
    <w:rsid w:val="00DD4E72"/>
    <w:pPr>
      <w:spacing w:after="120"/>
      <w:ind w:left="283"/>
    </w:pPr>
  </w:style>
  <w:style w:type="character" w:customStyle="1" w:styleId="affff">
    <w:name w:val="כניסה בגוף טקסט תו"/>
    <w:basedOn w:val="a2"/>
    <w:link w:val="afffe"/>
    <w:semiHidden/>
    <w:rsid w:val="00DD4E72"/>
    <w:rPr>
      <w:rFonts w:cs="David"/>
      <w:noProof w:val="0"/>
      <w:sz w:val="24"/>
      <w:szCs w:val="24"/>
    </w:rPr>
  </w:style>
  <w:style w:type="paragraph" w:styleId="2f">
    <w:name w:val="Body Text Indent 2"/>
    <w:basedOn w:val="a1"/>
    <w:link w:val="2f0"/>
    <w:semiHidden/>
    <w:unhideWhenUsed/>
    <w:rsid w:val="00DD4E72"/>
    <w:pPr>
      <w:spacing w:after="120" w:line="480" w:lineRule="auto"/>
      <w:ind w:left="283"/>
    </w:pPr>
  </w:style>
  <w:style w:type="character" w:customStyle="1" w:styleId="2f0">
    <w:name w:val="כניסה בגוף טקסט 2 תו"/>
    <w:basedOn w:val="a2"/>
    <w:link w:val="2f"/>
    <w:semiHidden/>
    <w:rsid w:val="00DD4E72"/>
    <w:rPr>
      <w:rFonts w:cs="David"/>
      <w:noProof w:val="0"/>
      <w:sz w:val="24"/>
      <w:szCs w:val="24"/>
    </w:rPr>
  </w:style>
  <w:style w:type="paragraph" w:styleId="3d">
    <w:name w:val="Body Text Indent 3"/>
    <w:basedOn w:val="a1"/>
    <w:link w:val="3e"/>
    <w:semiHidden/>
    <w:unhideWhenUsed/>
    <w:rsid w:val="00DD4E72"/>
    <w:pPr>
      <w:spacing w:after="120"/>
      <w:ind w:left="283"/>
    </w:pPr>
    <w:rPr>
      <w:sz w:val="16"/>
      <w:szCs w:val="16"/>
    </w:rPr>
  </w:style>
  <w:style w:type="character" w:customStyle="1" w:styleId="3e">
    <w:name w:val="כניסה בגוף טקסט 3 תו"/>
    <w:basedOn w:val="a2"/>
    <w:link w:val="3d"/>
    <w:semiHidden/>
    <w:rsid w:val="00DD4E72"/>
    <w:rPr>
      <w:rFonts w:cs="David"/>
      <w:noProof w:val="0"/>
      <w:sz w:val="16"/>
      <w:szCs w:val="16"/>
    </w:rPr>
  </w:style>
  <w:style w:type="paragraph" w:styleId="affff0">
    <w:name w:val="Normal Indent"/>
    <w:basedOn w:val="a1"/>
    <w:semiHidden/>
    <w:unhideWhenUsed/>
    <w:rsid w:val="00DD4E72"/>
    <w:pPr>
      <w:ind w:left="720"/>
    </w:pPr>
  </w:style>
  <w:style w:type="paragraph" w:styleId="affff1">
    <w:name w:val="Body Text First Indent"/>
    <w:basedOn w:val="af4"/>
    <w:link w:val="affff2"/>
    <w:rsid w:val="00DD4E72"/>
    <w:pPr>
      <w:spacing w:after="0"/>
      <w:ind w:firstLine="360"/>
    </w:pPr>
  </w:style>
  <w:style w:type="character" w:customStyle="1" w:styleId="affff2">
    <w:name w:val="כניסת שורה ראשונה בגוף טקסט תו"/>
    <w:basedOn w:val="af5"/>
    <w:link w:val="affff1"/>
    <w:rsid w:val="00DD4E72"/>
    <w:rPr>
      <w:rFonts w:cs="David"/>
      <w:noProof w:val="0"/>
      <w:sz w:val="24"/>
      <w:szCs w:val="24"/>
    </w:rPr>
  </w:style>
  <w:style w:type="paragraph" w:styleId="2f1">
    <w:name w:val="Body Text First Indent 2"/>
    <w:basedOn w:val="afffe"/>
    <w:link w:val="2f2"/>
    <w:semiHidden/>
    <w:unhideWhenUsed/>
    <w:rsid w:val="00DD4E72"/>
    <w:pPr>
      <w:spacing w:after="0"/>
      <w:ind w:left="360" w:firstLine="360"/>
    </w:pPr>
  </w:style>
  <w:style w:type="character" w:customStyle="1" w:styleId="2f2">
    <w:name w:val="כניסת שורה ראשונה בגוף טקסט 2 תו"/>
    <w:basedOn w:val="affff"/>
    <w:link w:val="2f1"/>
    <w:semiHidden/>
    <w:rsid w:val="00DD4E72"/>
    <w:rPr>
      <w:rFonts w:cs="David"/>
      <w:noProof w:val="0"/>
      <w:sz w:val="24"/>
      <w:szCs w:val="24"/>
    </w:rPr>
  </w:style>
  <w:style w:type="paragraph" w:styleId="HTML2">
    <w:name w:val="HTML Address"/>
    <w:basedOn w:val="a1"/>
    <w:link w:val="HTML3"/>
    <w:semiHidden/>
    <w:unhideWhenUsed/>
    <w:rsid w:val="00DD4E72"/>
    <w:rPr>
      <w:i/>
      <w:iCs/>
    </w:rPr>
  </w:style>
  <w:style w:type="character" w:customStyle="1" w:styleId="HTML3">
    <w:name w:val="כתובת HTML תו"/>
    <w:basedOn w:val="a2"/>
    <w:link w:val="HTML2"/>
    <w:semiHidden/>
    <w:rsid w:val="00DD4E72"/>
    <w:rPr>
      <w:rFonts w:cs="David"/>
      <w:i/>
      <w:iCs/>
      <w:noProof w:val="0"/>
      <w:sz w:val="24"/>
      <w:szCs w:val="24"/>
    </w:rPr>
  </w:style>
  <w:style w:type="paragraph" w:styleId="affff3">
    <w:name w:val="envelope address"/>
    <w:basedOn w:val="a1"/>
    <w:semiHidden/>
    <w:unhideWhenUsed/>
    <w:rsid w:val="00DD4E72"/>
    <w:pPr>
      <w:framePr w:w="7920" w:h="1980" w:hRule="exact" w:hSpace="180" w:wrap="auto" w:hAnchor="page" w:xAlign="center" w:yAlign="bottom"/>
      <w:ind w:left="2880"/>
    </w:pPr>
    <w:rPr>
      <w:rFonts w:asciiTheme="majorHAnsi" w:eastAsiaTheme="majorEastAsia" w:hAnsiTheme="majorHAnsi" w:cstheme="majorBidi"/>
    </w:rPr>
  </w:style>
  <w:style w:type="paragraph" w:styleId="affff4">
    <w:name w:val="envelope return"/>
    <w:basedOn w:val="a1"/>
    <w:semiHidden/>
    <w:unhideWhenUsed/>
    <w:rsid w:val="00DD4E72"/>
    <w:rPr>
      <w:rFonts w:asciiTheme="majorHAnsi" w:eastAsiaTheme="majorEastAsia" w:hAnsiTheme="majorHAnsi" w:cstheme="majorBidi"/>
      <w:sz w:val="20"/>
      <w:szCs w:val="20"/>
    </w:rPr>
  </w:style>
  <w:style w:type="paragraph" w:styleId="affff5">
    <w:name w:val="No Spacing"/>
    <w:uiPriority w:val="1"/>
    <w:qFormat/>
    <w:rsid w:val="00DD4E72"/>
    <w:pPr>
      <w:bidi/>
    </w:pPr>
    <w:rPr>
      <w:rFonts w:cs="David"/>
      <w:sz w:val="24"/>
      <w:szCs w:val="24"/>
    </w:rPr>
  </w:style>
  <w:style w:type="character" w:styleId="HTML4">
    <w:name w:val="HTML Typewriter"/>
    <w:basedOn w:val="a2"/>
    <w:semiHidden/>
    <w:unhideWhenUsed/>
    <w:rsid w:val="00DD4E72"/>
    <w:rPr>
      <w:rFonts w:ascii="Consolas" w:hAnsi="Consolas"/>
      <w:noProof w:val="0"/>
      <w:sz w:val="20"/>
      <w:szCs w:val="20"/>
    </w:rPr>
  </w:style>
  <w:style w:type="paragraph" w:styleId="affff6">
    <w:name w:val="Document Map"/>
    <w:basedOn w:val="a1"/>
    <w:link w:val="affff7"/>
    <w:semiHidden/>
    <w:unhideWhenUsed/>
    <w:rsid w:val="00DD4E72"/>
    <w:rPr>
      <w:rFonts w:ascii="Tahoma" w:hAnsi="Tahoma" w:cs="Tahoma"/>
      <w:sz w:val="16"/>
      <w:szCs w:val="16"/>
    </w:rPr>
  </w:style>
  <w:style w:type="character" w:customStyle="1" w:styleId="affff7">
    <w:name w:val="מפת מסמך תו"/>
    <w:basedOn w:val="a2"/>
    <w:link w:val="affff6"/>
    <w:semiHidden/>
    <w:rsid w:val="00DD4E72"/>
    <w:rPr>
      <w:rFonts w:ascii="Tahoma" w:hAnsi="Tahoma" w:cs="Tahoma"/>
      <w:noProof w:val="0"/>
      <w:sz w:val="16"/>
      <w:szCs w:val="16"/>
    </w:rPr>
  </w:style>
  <w:style w:type="character" w:styleId="HTML5">
    <w:name w:val="HTML Keyboard"/>
    <w:basedOn w:val="a2"/>
    <w:semiHidden/>
    <w:unhideWhenUsed/>
    <w:rsid w:val="00DD4E72"/>
    <w:rPr>
      <w:rFonts w:ascii="Consolas" w:hAnsi="Consolas"/>
      <w:noProof w:val="0"/>
      <w:sz w:val="20"/>
      <w:szCs w:val="20"/>
    </w:rPr>
  </w:style>
  <w:style w:type="paragraph" w:styleId="affff8">
    <w:name w:val="annotation subject"/>
    <w:basedOn w:val="a8"/>
    <w:next w:val="a8"/>
    <w:link w:val="affff9"/>
    <w:semiHidden/>
    <w:unhideWhenUsed/>
    <w:rsid w:val="00DD4E72"/>
    <w:rPr>
      <w:rFonts w:cs="David"/>
      <w:b/>
      <w:bCs/>
      <w:sz w:val="20"/>
      <w:szCs w:val="20"/>
    </w:rPr>
  </w:style>
  <w:style w:type="character" w:customStyle="1" w:styleId="a9">
    <w:name w:val="טקסט הערה תו"/>
    <w:basedOn w:val="a2"/>
    <w:link w:val="a8"/>
    <w:semiHidden/>
    <w:rsid w:val="00DD4E72"/>
    <w:rPr>
      <w:noProof w:val="0"/>
      <w:sz w:val="24"/>
      <w:szCs w:val="24"/>
    </w:rPr>
  </w:style>
  <w:style w:type="character" w:customStyle="1" w:styleId="affff9">
    <w:name w:val="נושא הערה תו"/>
    <w:basedOn w:val="a9"/>
    <w:link w:val="affff8"/>
    <w:semiHidden/>
    <w:rsid w:val="00DD4E72"/>
    <w:rPr>
      <w:rFonts w:cs="David"/>
      <w:b/>
      <w:bCs/>
      <w:noProof w:val="0"/>
      <w:sz w:val="24"/>
      <w:szCs w:val="24"/>
    </w:rPr>
  </w:style>
  <w:style w:type="table" w:styleId="affffa">
    <w:name w:val="Table Theme"/>
    <w:basedOn w:val="a3"/>
    <w:semiHidden/>
    <w:unhideWhenUsed/>
    <w:rsid w:val="00DD4E72"/>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Closing"/>
    <w:basedOn w:val="a1"/>
    <w:link w:val="affffc"/>
    <w:semiHidden/>
    <w:unhideWhenUsed/>
    <w:rsid w:val="00DD4E72"/>
    <w:pPr>
      <w:ind w:left="4252"/>
    </w:pPr>
  </w:style>
  <w:style w:type="character" w:customStyle="1" w:styleId="affffc">
    <w:name w:val="סיום תו"/>
    <w:basedOn w:val="a2"/>
    <w:link w:val="affffb"/>
    <w:semiHidden/>
    <w:rsid w:val="00DD4E72"/>
    <w:rPr>
      <w:rFonts w:cs="David"/>
      <w:noProof w:val="0"/>
      <w:sz w:val="24"/>
      <w:szCs w:val="24"/>
    </w:rPr>
  </w:style>
  <w:style w:type="table" w:styleId="1b">
    <w:name w:val="Table Columns 1"/>
    <w:basedOn w:val="a3"/>
    <w:semiHidden/>
    <w:unhideWhenUsed/>
    <w:rsid w:val="00DD4E72"/>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DD4E72"/>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DD4E72"/>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DD4E72"/>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DD4E72"/>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d">
    <w:name w:val="Quote"/>
    <w:basedOn w:val="a1"/>
    <w:next w:val="a1"/>
    <w:link w:val="affffe"/>
    <w:uiPriority w:val="29"/>
    <w:qFormat/>
    <w:rsid w:val="00DD4E72"/>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DD4E72"/>
    <w:rPr>
      <w:rFonts w:cs="David"/>
      <w:i/>
      <w:iCs/>
      <w:noProof w:val="0"/>
      <w:color w:val="404040" w:themeColor="text1" w:themeTint="BF"/>
      <w:sz w:val="24"/>
      <w:szCs w:val="24"/>
    </w:rPr>
  </w:style>
  <w:style w:type="paragraph" w:styleId="afffff">
    <w:name w:val="Intense Quote"/>
    <w:basedOn w:val="a1"/>
    <w:next w:val="a1"/>
    <w:link w:val="afffff0"/>
    <w:uiPriority w:val="30"/>
    <w:qFormat/>
    <w:rsid w:val="00DD4E7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DD4E72"/>
    <w:rPr>
      <w:rFonts w:cs="David"/>
      <w:i/>
      <w:iCs/>
      <w:noProof w:val="0"/>
      <w:color w:val="4F81BD" w:themeColor="accent1"/>
      <w:sz w:val="24"/>
      <w:szCs w:val="24"/>
    </w:rPr>
  </w:style>
  <w:style w:type="character" w:styleId="HTML6">
    <w:name w:val="HTML Acronym"/>
    <w:basedOn w:val="a2"/>
    <w:semiHidden/>
    <w:unhideWhenUsed/>
    <w:rsid w:val="00DD4E72"/>
    <w:rPr>
      <w:noProof w:val="0"/>
    </w:rPr>
  </w:style>
  <w:style w:type="paragraph" w:styleId="afffff1">
    <w:name w:val="List"/>
    <w:basedOn w:val="a1"/>
    <w:semiHidden/>
    <w:unhideWhenUsed/>
    <w:rsid w:val="00DD4E72"/>
    <w:pPr>
      <w:ind w:left="283" w:hanging="283"/>
      <w:contextualSpacing/>
    </w:pPr>
  </w:style>
  <w:style w:type="paragraph" w:styleId="2f4">
    <w:name w:val="List 2"/>
    <w:basedOn w:val="a1"/>
    <w:semiHidden/>
    <w:unhideWhenUsed/>
    <w:rsid w:val="00DD4E72"/>
    <w:pPr>
      <w:ind w:left="566" w:hanging="283"/>
      <w:contextualSpacing/>
    </w:pPr>
  </w:style>
  <w:style w:type="paragraph" w:styleId="3f0">
    <w:name w:val="List 3"/>
    <w:basedOn w:val="a1"/>
    <w:semiHidden/>
    <w:unhideWhenUsed/>
    <w:rsid w:val="00DD4E72"/>
    <w:pPr>
      <w:ind w:left="849" w:hanging="283"/>
      <w:contextualSpacing/>
    </w:pPr>
  </w:style>
  <w:style w:type="paragraph" w:styleId="48">
    <w:name w:val="List 4"/>
    <w:basedOn w:val="a1"/>
    <w:rsid w:val="00DD4E72"/>
    <w:pPr>
      <w:ind w:left="1132" w:hanging="283"/>
      <w:contextualSpacing/>
    </w:pPr>
  </w:style>
  <w:style w:type="paragraph" w:styleId="58">
    <w:name w:val="List 5"/>
    <w:basedOn w:val="a1"/>
    <w:rsid w:val="00DD4E72"/>
    <w:pPr>
      <w:ind w:left="1415" w:hanging="283"/>
      <w:contextualSpacing/>
    </w:pPr>
  </w:style>
  <w:style w:type="table" w:styleId="afffff2">
    <w:name w:val="Light List"/>
    <w:basedOn w:val="a3"/>
    <w:uiPriority w:val="61"/>
    <w:semiHidden/>
    <w:unhideWhenUsed/>
    <w:rsid w:val="00DD4E7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DD4E7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DD4E7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DD4E7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DD4E7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DD4E7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DD4E7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DD4E72"/>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DD4E72"/>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DD4E72"/>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DD4E72"/>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DD4E72"/>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DD4E72"/>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DD4E72"/>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DD4E72"/>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DD4E7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DD4E72"/>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DD4E72"/>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DD4E72"/>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DD4E72"/>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DD4E72"/>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DD4E72"/>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DD4E7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DD4E7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DD4E7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DD4E7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DD4E7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DD4E7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DD4E7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DD4E72"/>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DD4E72"/>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DD4E72"/>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DD4E72"/>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DD4E72"/>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DD4E72"/>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DD4E72"/>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DD4E72"/>
    <w:pPr>
      <w:numPr>
        <w:numId w:val="3"/>
      </w:numPr>
      <w:contextualSpacing/>
    </w:pPr>
  </w:style>
  <w:style w:type="paragraph" w:styleId="2">
    <w:name w:val="List Number 2"/>
    <w:basedOn w:val="a1"/>
    <w:semiHidden/>
    <w:unhideWhenUsed/>
    <w:rsid w:val="00DD4E72"/>
    <w:pPr>
      <w:numPr>
        <w:numId w:val="4"/>
      </w:numPr>
      <w:contextualSpacing/>
    </w:pPr>
  </w:style>
  <w:style w:type="paragraph" w:styleId="3">
    <w:name w:val="List Number 3"/>
    <w:basedOn w:val="a1"/>
    <w:semiHidden/>
    <w:unhideWhenUsed/>
    <w:rsid w:val="00DD4E72"/>
    <w:pPr>
      <w:numPr>
        <w:numId w:val="5"/>
      </w:numPr>
      <w:contextualSpacing/>
    </w:pPr>
  </w:style>
  <w:style w:type="paragraph" w:styleId="4">
    <w:name w:val="List Number 4"/>
    <w:basedOn w:val="a1"/>
    <w:semiHidden/>
    <w:unhideWhenUsed/>
    <w:rsid w:val="00DD4E72"/>
    <w:pPr>
      <w:numPr>
        <w:numId w:val="6"/>
      </w:numPr>
      <w:contextualSpacing/>
    </w:pPr>
  </w:style>
  <w:style w:type="paragraph" w:styleId="5">
    <w:name w:val="List Number 5"/>
    <w:basedOn w:val="a1"/>
    <w:semiHidden/>
    <w:unhideWhenUsed/>
    <w:rsid w:val="00DD4E72"/>
    <w:pPr>
      <w:numPr>
        <w:numId w:val="7"/>
      </w:numPr>
      <w:contextualSpacing/>
    </w:pPr>
  </w:style>
  <w:style w:type="paragraph" w:styleId="a0">
    <w:name w:val="List Bullet"/>
    <w:basedOn w:val="a1"/>
    <w:semiHidden/>
    <w:unhideWhenUsed/>
    <w:rsid w:val="00DD4E72"/>
    <w:pPr>
      <w:numPr>
        <w:numId w:val="8"/>
      </w:numPr>
      <w:contextualSpacing/>
    </w:pPr>
  </w:style>
  <w:style w:type="paragraph" w:styleId="20">
    <w:name w:val="List Bullet 2"/>
    <w:basedOn w:val="a1"/>
    <w:semiHidden/>
    <w:unhideWhenUsed/>
    <w:rsid w:val="00DD4E72"/>
    <w:pPr>
      <w:numPr>
        <w:numId w:val="9"/>
      </w:numPr>
      <w:contextualSpacing/>
    </w:pPr>
  </w:style>
  <w:style w:type="paragraph" w:styleId="30">
    <w:name w:val="List Bullet 3"/>
    <w:basedOn w:val="a1"/>
    <w:semiHidden/>
    <w:unhideWhenUsed/>
    <w:rsid w:val="00DD4E72"/>
    <w:pPr>
      <w:numPr>
        <w:numId w:val="10"/>
      </w:numPr>
      <w:contextualSpacing/>
    </w:pPr>
  </w:style>
  <w:style w:type="paragraph" w:styleId="40">
    <w:name w:val="List Bullet 4"/>
    <w:basedOn w:val="a1"/>
    <w:semiHidden/>
    <w:unhideWhenUsed/>
    <w:rsid w:val="00DD4E72"/>
    <w:pPr>
      <w:numPr>
        <w:numId w:val="11"/>
      </w:numPr>
      <w:contextualSpacing/>
    </w:pPr>
  </w:style>
  <w:style w:type="paragraph" w:styleId="50">
    <w:name w:val="List Bullet 5"/>
    <w:basedOn w:val="a1"/>
    <w:semiHidden/>
    <w:unhideWhenUsed/>
    <w:rsid w:val="00DD4E72"/>
    <w:pPr>
      <w:numPr>
        <w:numId w:val="12"/>
      </w:numPr>
      <w:contextualSpacing/>
    </w:pPr>
  </w:style>
  <w:style w:type="table" w:styleId="afffff4">
    <w:name w:val="Colorful List"/>
    <w:basedOn w:val="a3"/>
    <w:uiPriority w:val="72"/>
    <w:semiHidden/>
    <w:unhideWhenUsed/>
    <w:rsid w:val="00DD4E7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DD4E7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DD4E7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DD4E7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DD4E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DD4E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DD4E7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DD4E72"/>
  </w:style>
  <w:style w:type="paragraph" w:styleId="afffff6">
    <w:name w:val="table of authorities"/>
    <w:basedOn w:val="a1"/>
    <w:next w:val="a1"/>
    <w:semiHidden/>
    <w:unhideWhenUsed/>
    <w:rsid w:val="00DD4E72"/>
    <w:pPr>
      <w:ind w:left="240" w:hanging="240"/>
    </w:pPr>
  </w:style>
  <w:style w:type="table" w:styleId="afffff7">
    <w:name w:val="Light Grid"/>
    <w:basedOn w:val="a3"/>
    <w:uiPriority w:val="62"/>
    <w:semiHidden/>
    <w:unhideWhenUsed/>
    <w:rsid w:val="00DD4E7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DD4E7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DD4E7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DD4E7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DD4E7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DD4E7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DD4E7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DD4E7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DD4E7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DD4E7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DD4E7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DD4E7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DD4E7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DD4E7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DD4E7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DD4E7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DD4E7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DD4E7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DD4E7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DD4E7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DD4E7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DD4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DD4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DD4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DD4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DD4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DD4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DD4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DD4E72"/>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DD4E72"/>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DD4E72"/>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DD4E72"/>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DD4E72"/>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DD4E72"/>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DD4E72"/>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DD4E72"/>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DD4E7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DD4E72"/>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DD4E72"/>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DD4E72"/>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DD4E72"/>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DD4E72"/>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DD4E72"/>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DD4E72"/>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DD4E72"/>
  </w:style>
  <w:style w:type="character" w:customStyle="1" w:styleId="afffffb">
    <w:name w:val="תאריך תו"/>
    <w:basedOn w:val="a2"/>
    <w:link w:val="afffffa"/>
    <w:rsid w:val="00DD4E72"/>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472980">
      <w:bodyDiv w:val="1"/>
      <w:marLeft w:val="0"/>
      <w:marRight w:val="0"/>
      <w:marTop w:val="0"/>
      <w:marBottom w:val="0"/>
      <w:divBdr>
        <w:top w:val="none" w:sz="0" w:space="0" w:color="auto"/>
        <w:left w:val="none" w:sz="0" w:space="0" w:color="auto"/>
        <w:bottom w:val="none" w:sz="0" w:space="0" w:color="auto"/>
        <w:right w:val="none" w:sz="0" w:space="0" w:color="auto"/>
      </w:divBdr>
    </w:div>
    <w:div w:id="52286158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nevo.co.il/law/196390" TargetMode="External"/><Relationship Id="rId18" Type="http://schemas.openxmlformats.org/officeDocument/2006/relationships/hyperlink" Target="http://www.nevo.co.il/safrut/bookgroup/669" TargetMode="Externa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yperlink" Target="https://www.nevo.co.il/psika_html/elyon/18028060-O02.ht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nevo.co.il/case/6096335"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nevo.co.il/psika_html/elyon/19002600-R03.htm" TargetMode="External"/><Relationship Id="rId20" Type="http://schemas.openxmlformats.org/officeDocument/2006/relationships/hyperlink" Target="https://www.nevo.co.il/psika_html/elyon/18028060-O02.htm" TargetMode="External"/><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nevo.co.il/case/28660014" TargetMode="External"/><Relationship Id="rId23" Type="http://schemas.openxmlformats.org/officeDocument/2006/relationships/image" Target="media/image1.jpg"/><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yperlink" Target="https://www.nevo.co.il/psika_html/elyon/18028060-O02.htm" TargetMode="External"/><Relationship Id="rId31" Type="http://schemas.openxmlformats.org/officeDocument/2006/relationships/glossaryDocument" Target="glossary/document.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nevo.co.il/case/28817053" TargetMode="External"/><Relationship Id="rId22" Type="http://schemas.openxmlformats.org/officeDocument/2006/relationships/hyperlink" Target="https://www.nevo.co.il/psika_html/elyon/19002600-R03.htm"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A79FB" w:rsidP="000A79FB">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5930C41ECC2B479B8F6E6A319EB8F6DB"/>
        <w:category>
          <w:name w:val="כללי"/>
          <w:gallery w:val="placeholder"/>
        </w:category>
        <w:types>
          <w:type w:val="bbPlcHdr"/>
        </w:types>
        <w:behaviors>
          <w:behavior w:val="content"/>
        </w:behaviors>
        <w:guid w:val="{A3F6E0E3-1CF3-416B-A2C4-0DD341929883}"/>
      </w:docPartPr>
      <w:docPartBody>
        <w:p w:rsidR="00D354A8" w:rsidRDefault="00077161" w:rsidP="00077161">
          <w:pPr>
            <w:pStyle w:val="5930C41ECC2B479B8F6E6A319EB8F6DB"/>
          </w:pPr>
          <w:r>
            <w:rPr>
              <w:rFonts w:ascii="Arial" w:hAnsi="Arial"/>
              <w:b/>
              <w:bCs/>
              <w:sz w:val="26"/>
              <w:szCs w:val="26"/>
              <w:rtl/>
            </w:rPr>
            <w:t>שם צד א' ללא שם של חסוי</w:t>
          </w:r>
        </w:p>
      </w:docPartBody>
    </w:docPart>
    <w:docPart>
      <w:docPartPr>
        <w:name w:val="65A2F1D1594B4973907110CD634B8108"/>
        <w:category>
          <w:name w:val="כללי"/>
          <w:gallery w:val="placeholder"/>
        </w:category>
        <w:types>
          <w:type w:val="bbPlcHdr"/>
        </w:types>
        <w:behaviors>
          <w:behavior w:val="content"/>
        </w:behaviors>
        <w:guid w:val="{3488835A-6A6B-4023-9CE3-17070D049495}"/>
      </w:docPartPr>
      <w:docPartBody>
        <w:p w:rsidR="00D354A8" w:rsidRDefault="00077161" w:rsidP="00077161">
          <w:pPr>
            <w:pStyle w:val="65A2F1D1594B4973907110CD634B8108"/>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77161"/>
    <w:rsid w:val="000A4ACE"/>
    <w:rsid w:val="000A79FB"/>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D354A8"/>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A79F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A79FB"/>
    <w:pPr>
      <w:bidi/>
      <w:spacing w:after="0" w:line="240" w:lineRule="auto"/>
    </w:pPr>
    <w:rPr>
      <w:rFonts w:ascii="Times New Roman" w:eastAsia="Times New Roman" w:hAnsi="Times New Roman" w:cs="David"/>
      <w:noProof/>
      <w:sz w:val="24"/>
      <w:szCs w:val="24"/>
    </w:rPr>
  </w:style>
  <w:style w:type="paragraph" w:customStyle="1" w:styleId="5930C41ECC2B479B8F6E6A319EB8F6DB">
    <w:name w:val="5930C41ECC2B479B8F6E6A319EB8F6DB"/>
    <w:rsid w:val="00077161"/>
    <w:pPr>
      <w:bidi/>
      <w:spacing w:after="160" w:line="259" w:lineRule="auto"/>
    </w:pPr>
  </w:style>
  <w:style w:type="paragraph" w:customStyle="1" w:styleId="65A2F1D1594B4973907110CD634B8108">
    <w:name w:val="65A2F1D1594B4973907110CD634B8108"/>
    <w:rsid w:val="00077161"/>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
</file>

<file path=customXml/item2.xml>
</file>

<file path=customXml/item3.xml>
</file>

<file path=customXml/item4.xml><?xml version="1.0" encoding="utf-8"?>
<DecisionTemplateDS>
  <dt_Decision>
    <DecisionID>0</DecisionID>
    <CaseID>80595328</CaseID>
    <CaseJudicialPersonPresentationDS>
      <CaseJudicalPersonActive>
        <CaseID>80595328</CaseID>
        <JudicialPersonID>058677980@GOV.IL</JudicialPersonID>
        <JudicialPersonTypeID>1</JudicialPersonTypeID>
        <JudicialTypeID>1</JudicialTypeID>
        <IsChairman>false</IsChairman>
        <TreatmentStartDate>2023-09-13T08:31:53.823+03:00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אלכס וייג</FullName>
        <FirstName>אלכס</FirstName>
        <LastName>וייג</LastName>
        <PartyPropertyName/>
        <AuthenticationTypeAndNumber>מ.ר. 73127</AuthenticationTypeAndNumber>
        <RepresentatedOrRepresentativesNames>מריה דיקוי</RepresentatedOrRepresentativesNames>
        <RepresentatedOrRepresentativesCount>1</RepresentatedOrRepresentativesCount>
        <InvitedBy/>
        <CaseID>80595328</CaseID>
        <CaseJudicialPersonPresentationDS>
          <CaseJudicalPersonActive>
            <CaseID>80595328</CaseID>
            <JudicialPersonID>058677980@GOV.IL</JudicialPersonID>
            <JudicialPersonTypeID>1</JudicialPersonTypeID>
            <JudicialTypeID>1</JudicialTypeID>
            <IsChairman>false</IsChairman>
            <TreatmentStartDate>2023-09-13T08:31:53.823+03:00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260456298</CasePartyID>
        <PartyTypeID>2</PartyTypeID>
        <ActivityStatusID>1</ActivityStatusID>
        <PartyAliasID>23</PartyAliasID>
        <PartyAliasName>בא כוח משיבים</PartyAliasName>
        <LegalEntityID>75341746</LegalEntityID>
        <CaseLegalEntityID>125906803</CaseLegalEntityID>
        <AuthenticationTypeID>4</AuthenticationTypeID>
        <AuthenticationTypeName>מ.ר.</AuthenticationTypeName>
        <LegalEntityNumber>73127</LegalEntityNumber>
        <IsMainPartyType>true</IsMainPartyType>
        <CaseDisplayIdentifier>25902-09-23</CaseDisplayIdentifier>
        <CaseTypeID>10074</CaseTypeID>
        <CaseTypeName>רשות ערעור משפחה (רמ"ש)</CaseTypeName>
        <CaseName>דיקוי נ' דיקוי</CaseName>
        <FullAddress>קביש לוז 11 קריית מוצקין ת.ד 3377</FullAddress>
        <EmailAddress>alweig7@gmail.com</EmailAddress>
        <MotionID>0</MotionID>
        <CasePleaID>0</CasePleaID>
        <LinkedCaseID>0</LinkedCaseID>
        <PartyID>2</PartyID>
        <CasePartyCategoryID>2</CasePartyCategoryID>
        <LegalEntityAddressID>78831674</LegalEntityAddressID>
        <LegalEntityEmailAddressID>67902265</LegalEntityEmailAddressID>
        <PleaTypeID>5</PleaTypeID>
        <LawyerOfficeName>משרד עו"ד אלכס וייג</LawyerOfficeName>
        <LawyerOfficeID>75341747</LawyerOfficeID>
        <GroupPartyAlias/>
        <IsConverted>false</IsConverted>
        <LegalEntityNameID>81736996</LegalEntityNameID>
        <RepresentatedNamesOfAssistant/>
        <LegalEntityTypeID>4</LegalEntityTypeID>
        <IsVerdictExists>false</IsVerdictExists>
        <IsAsirAzir>false</IsAsirAzir>
        <IsPublicationProhibited>false</IsPublicationProhibited>
        <PublicationProhibitedFullName>אלכס וייג</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נטליה דיקוי</FullName>
        <FirstName>נטליה</FirstName>
        <LastName>וישניאקובה</LastName>
        <PartyPropertyName/>
        <AuthenticationTypeAndNumber>ת"ז 320781578</AuthenticationTypeAndNumber>
        <RepresentatedOrRepresentativesNames>נועם אפשטיין</RepresentatedOrRepresentativesNames>
        <RepresentatedOrRepresentativesCount>1</RepresentatedOrRepresentativesCount>
        <InvitedBy/>
        <CaseID>80595328</CaseID>
        <CaseJudicialPersonPresentationDS>
          <CaseJudicalPersonActive>
            <CaseID>80595328</CaseID>
            <JudicialPersonID>058677980@GOV.IL</JudicialPersonID>
            <JudicialPersonTypeID>1</JudicialPersonTypeID>
            <JudicialTypeID>1</JudicialTypeID>
            <IsChairman>false</IsChairman>
            <TreatmentStartDate>2023-09-13T08:31:53.823+03:00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260455162</CasePartyID>
        <PartyTypeID>1</PartyTypeID>
        <ActivityStatusID>1</ActivityStatusID>
        <PartyAliasID>3</PartyAliasID>
        <PartyAliasName>מבקש</PartyAliasName>
        <OrdinalNumber>1</OrdinalNumber>
        <LegalEntityID>80759762</LegalEntityID>
        <CaseLegalEntityID>125906348</CaseLegalEntityID>
        <AuthenticationTypeID>1</AuthenticationTypeID>
        <AuthenticationTypeName>ת"ז</AuthenticationTypeName>
        <LegalEntityNumber>320781578</LegalEntityNumber>
        <IsMainPartyType>true</IsMainPartyType>
        <CaseDisplayIdentifier>25902-09-23</CaseDisplayIdentifier>
        <CaseTypeID>10074</CaseTypeID>
        <CaseTypeName>רשות ערעור משפחה (רמ"ש)</CaseTypeName>
        <CaseName>דיקוי נ' דיקוי</CaseName>
        <FullAddress>שד' בן גוריון 63 קריית ביאליק </FullAddress>
        <MotionID>0</MotionID>
        <CasePleaID>0</CasePleaID>
        <FatherName>ויקטור</FatherName>
        <LinkedCaseID>0</LinkedCaseID>
        <PartyID>1</PartyID>
        <CasePartyCategoryID>2</CasePartyCategoryID>
        <LegalEntityAddressID>88397420</LegalEntityAddressID>
        <PleaTypeID>5</PleaTypeID>
        <GroupPartyAlias>מבקשים</GroupPartyAlias>
        <IsConverted>false</IsConverted>
        <LegalEntityRegisteredNameID>10381801</LegalEntityRegisteredNameID>
        <LegalEntityNameID>95454785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נטליה דיקוי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נועם אפשטיין</FullName>
        <FirstName>נועם</FirstName>
        <LastName>אפשטיין</LastName>
        <PartyPropertyName/>
        <AuthenticationTypeAndNumber>מ.ר. 18320</AuthenticationTypeAndNumber>
        <RepresentatedOrRepresentativesNames>נטליה דיקוי</RepresentatedOrRepresentativesNames>
        <RepresentatedOrRepresentativesCount>1</RepresentatedOrRepresentativesCount>
        <InvitedBy/>
        <CaseID>80595328</CaseID>
        <CaseJudicialPersonPresentationDS>
          <CaseJudicalPersonActive>
            <CaseID>80595328</CaseID>
            <JudicialPersonID>058677980@GOV.IL</JudicialPersonID>
            <JudicialPersonTypeID>1</JudicialPersonTypeID>
            <JudicialTypeID>1</JudicialTypeID>
            <IsChairman>false</IsChairman>
            <TreatmentStartDate>2023-09-13T08:31:53.823+03:00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260455164</CasePartyID>
        <PartyTypeID>2</PartyTypeID>
        <ActivityStatusID>1</ActivityStatusID>
        <PartyAliasID>22</PartyAliasID>
        <PartyAliasName>בא כוח מבקשים</PartyAliasName>
        <OrdinalNumber>1</OrdinalNumber>
        <LegalEntityID>381166</LegalEntityID>
        <CaseLegalEntityID>125906350</CaseLegalEntityID>
        <AuthenticationTypeID>4</AuthenticationTypeID>
        <AuthenticationTypeName>מ.ר.</AuthenticationTypeName>
        <LegalEntityNumber>18320</LegalEntityNumber>
        <IsMainPartyType>true</IsMainPartyType>
        <CaseDisplayIdentifier>25902-09-23</CaseDisplayIdentifier>
        <CaseTypeID>10074</CaseTypeID>
        <CaseTypeName>רשות ערעור משפחה (רמ"ש)</CaseTypeName>
        <CaseName>דיקוי נ' דיקוי</CaseName>
        <FullAddress>שד' בן גוריון 63 קריית ביאליק ת.ד. 5552</FullAddress>
        <EmailAddress>noam27867@gmail.com</EmailAddress>
        <MotionID>0</MotionID>
        <CasePleaID>0</CasePleaID>
        <LinkedCaseID>0</LinkedCaseID>
        <PartyID>1</PartyID>
        <CasePartyCategoryID>2</CasePartyCategoryID>
        <LegalEntityAddressID>71014285</LegalEntityAddressID>
        <LegalEntityEmailAddressID>68016102</LegalEntityEmailAddressID>
        <PleaTypeID>5</PleaTypeID>
        <LawyerOfficeName>משרד עו"ד: נועם אפשטיין</LawyerOfficeName>
        <LawyerOfficeID>421810</LawyerOfficeID>
        <GroupPartyAlias/>
        <IsConverted>false</IsConverted>
        <LegalEntityNameID>2150</LegalEntityNameID>
        <RepresentatedNamesOfAssistant/>
        <LegalEntityTypeID>4</LegalEntityTypeID>
        <IsVerdictExists>false</IsVerdictExists>
        <IsAsirAzir>false</IsAsirAzir>
        <IsPublicationProhibited>false</IsPublicationProhibited>
        <PublicationProhibitedFullName>נועם אפשטיין</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מריה דיקוי</FullName>
        <FirstName>מריה</FirstName>
        <LastName>דיקוי</LastName>
        <PartyPropertyName/>
        <AuthenticationTypeAndNumber>ת"ז 320781628</AuthenticationTypeAndNumber>
        <RepresentatedOrRepresentativesNames>אלכס וייג</RepresentatedOrRepresentativesNames>
        <RepresentatedOrRepresentativesCount>1</RepresentatedOrRepresentativesCount>
        <InvitedBy/>
        <CaseID>80595328</CaseID>
        <CaseJudicialPersonPresentationDS>
          <CaseJudicalPersonActive>
            <CaseID>80595328</CaseID>
            <JudicialPersonID>058677980@GOV.IL</JudicialPersonID>
            <JudicialPersonTypeID>1</JudicialPersonTypeID>
            <JudicialTypeID>1</JudicialTypeID>
            <IsChairman>false</IsChairman>
            <TreatmentStartDate>2023-09-13T08:31:53.823+03:00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260455163</CasePartyID>
        <PartyTypeID>1</PartyTypeID>
        <ActivityStatusID>1</ActivityStatusID>
        <PartyAliasID>4</PartyAliasID>
        <PartyAliasName>משיב</PartyAliasName>
        <OrdinalNumber>1</OrdinalNumber>
        <LegalEntityID>81077767</LegalEntityID>
        <CaseLegalEntityID>125906349</CaseLegalEntityID>
        <AuthenticationTypeID>1</AuthenticationTypeID>
        <AuthenticationTypeName>ת"ז</AuthenticationTypeName>
        <LegalEntityNumber>320781628</LegalEntityNumber>
        <IsMainPartyType>true</IsMainPartyType>
        <CaseDisplayIdentifier>25902-09-23</CaseDisplayIdentifier>
        <CaseTypeID>10074</CaseTypeID>
        <CaseTypeName>רשות ערעור משפחה (רמ"ש)</CaseTypeName>
        <CaseName>דיקוי נ' דיקוי</CaseName>
        <FullAddress>התשבי 22/6 חיפה </FullAddress>
        <MotionID>0</MotionID>
        <CasePleaID>0</CasePleaID>
        <FatherName>בוריס</FatherName>
        <LinkedCaseID>0</LinkedCaseID>
        <PartyID>2</PartyID>
        <CasePartyCategoryID>2</CasePartyCategoryID>
        <LegalEntityAddressID>87642999</LegalEntityAddressID>
        <PleaTypeID>5</PleaTypeID>
        <GroupPartyAlias>משיבים</GroupPartyAlias>
        <IsConverted>false</IsConverted>
        <LegalEntityRegisteredNameID>10260855</LegalEntityRegisteredNameID>
        <LegalEntityNameID>95454808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מריה דיקוי</PublicationProhibitedFullName>
      </CaseParties>
    </CasePartiesSelectionDS>
    <DecisionName>פסק דין  שניתנה ע"י  אריה נאמן</DecisionName>
    <CourtDisplayName>בית המשפט המחוזי בחיפה בשבתו כבית-משפט לערעורים אזרחיים</CourtDisplayName>
    <IsCaseJudgePanel>false</IsCaseJudgePanel>
    <DecisionSignatureDate>2023-09-13T08:34:19.2312778+03:00</DecisionSignatureDate>
    <OpenCaseDate>2023-09-11T15:42:00+03:00</OpenCaseDate>
    <CaseFeeSum>0.000</CaseFeeSum>
    <DecisionTypeID>2</DecisionTypeID>
    <DecisionSignatureUserName>אריה נאמן</DecisionSignatureUserName>
    <DecisionSignatureDateHebrew>2023-09-13T08:34:19.2312778+03:00</DecisionSignatureDateHebrew>
    <DecisionWriterID>058677980@GOV.IL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דיקוי נ' דיקוי</CaseName>
    <DecisionNumberInCase>1</DecisionNumberInCase>
  </dt_Decision>
  <dt_DecisionCase>
    <DecisionID>0</DecisionID>
    <CaseID>80595328</CaseID>
    <CaseJudicialPersonPresentationDS>
      <CaseJudicalPersonActive>
        <CaseID>80595328</CaseID>
        <JudicialPersonID>058677980@GOV.IL</JudicialPersonID>
        <JudicialPersonTypeID>1</JudicialPersonTypeID>
        <JudicialTypeID>1</JudicialTypeID>
        <IsChairman>false</IsChairman>
        <TreatmentStartDate>2023-09-13T08:31:53.823+03:00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אלכס וייג</FullName>
        <FirstName>אלכס</FirstName>
        <LastName>וייג</LastName>
        <PartyPropertyName/>
        <AuthenticationTypeAndNumber>מ.ר. 73127</AuthenticationTypeAndNumber>
        <RepresentatedOrRepresentativesNames>מריה דיקוי</RepresentatedOrRepresentativesNames>
        <RepresentatedOrRepresentativesCount>1</RepresentatedOrRepresentativesCount>
        <InvitedBy/>
        <CaseID>80595328</CaseID>
        <CaseJudicialPersonPresentationDS>
          <CaseJudicalPersonActive>
            <CaseID>80595328</CaseID>
            <JudicialPersonID>058677980@GOV.IL</JudicialPersonID>
            <JudicialPersonTypeID>1</JudicialPersonTypeID>
            <JudicialTypeID>1</JudicialTypeID>
            <IsChairman>false</IsChairman>
            <TreatmentStartDate>2023-09-13T08:31:53.823+03:00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260456298</CasePartyID>
        <PartyTypeID>2</PartyTypeID>
        <ActivityStatusID>1</ActivityStatusID>
        <PartyAliasID>23</PartyAliasID>
        <PartyAliasName>בא כוח משיבים</PartyAliasName>
        <LegalEntityID>75341746</LegalEntityID>
        <CaseLegalEntityID>125906803</CaseLegalEntityID>
        <AuthenticationTypeID>4</AuthenticationTypeID>
        <AuthenticationTypeName>מ.ר.</AuthenticationTypeName>
        <LegalEntityNumber>73127</LegalEntityNumber>
        <IsMainPartyType>true</IsMainPartyType>
        <CaseDisplayIdentifier>25902-09-23</CaseDisplayIdentifier>
        <CaseTypeID>10074</CaseTypeID>
        <CaseTypeName>רשות ערעור משפחה (רמ"ש)</CaseTypeName>
        <CaseName>דיקוי נ' דיקוי</CaseName>
        <FullAddress>קביש לוז 11 קריית מוצקין ת.ד 3377</FullAddress>
        <EmailAddress>alweig7@gmail.com</EmailAddress>
        <MotionID>0</MotionID>
        <CasePleaID>0</CasePleaID>
        <LinkedCaseID>0</LinkedCaseID>
        <PartyID>2</PartyID>
        <CasePartyCategoryID>2</CasePartyCategoryID>
        <LegalEntityAddressID>78831674</LegalEntityAddressID>
        <LegalEntityEmailAddressID>67902265</LegalEntityEmailAddressID>
        <PleaTypeID>5</PleaTypeID>
        <LawyerOfficeName>משרד עו"ד אלכס וייג</LawyerOfficeName>
        <LawyerOfficeID>75341747</LawyerOfficeID>
        <GroupPartyAlias/>
        <IsConverted>false</IsConverted>
        <LegalEntityNameID>81736996</LegalEntityNameID>
        <RepresentatedNamesOfAssistant/>
        <LegalEntityTypeID>4</LegalEntityTypeID>
        <IsVerdictExists>false</IsVerdictExists>
        <IsAsirAzir>false</IsAsirAzir>
        <IsPublicationProhibited>false</IsPublicationProhibited>
        <PublicationProhibitedFullName>אלכס וייג</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נטליה דיקוי</FullName>
        <FirstName>נטליה</FirstName>
        <LastName>וישניאקובה</LastName>
        <PartyPropertyName/>
        <AuthenticationTypeAndNumber>ת"ז 320781578</AuthenticationTypeAndNumber>
        <RepresentatedOrRepresentativesNames>נועם אפשטיין</RepresentatedOrRepresentativesNames>
        <RepresentatedOrRepresentativesCount>1</RepresentatedOrRepresentativesCount>
        <InvitedBy/>
        <CaseID>80595328</CaseID>
        <CaseJudicialPersonPresentationDS>
          <CaseJudicalPersonActive>
            <CaseID>80595328</CaseID>
            <JudicialPersonID>058677980@GOV.IL</JudicialPersonID>
            <JudicialPersonTypeID>1</JudicialPersonTypeID>
            <JudicialTypeID>1</JudicialTypeID>
            <IsChairman>false</IsChairman>
            <TreatmentStartDate>2023-09-13T08:31:53.823+03:00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260455162</CasePartyID>
        <PartyTypeID>1</PartyTypeID>
        <ActivityStatusID>1</ActivityStatusID>
        <PartyAliasID>3</PartyAliasID>
        <PartyAliasName>מבקש</PartyAliasName>
        <OrdinalNumber>1</OrdinalNumber>
        <LegalEntityID>80759762</LegalEntityID>
        <CaseLegalEntityID>125906348</CaseLegalEntityID>
        <AuthenticationTypeID>1</AuthenticationTypeID>
        <AuthenticationTypeName>ת"ז</AuthenticationTypeName>
        <LegalEntityNumber>320781578</LegalEntityNumber>
        <IsMainPartyType>true</IsMainPartyType>
        <CaseDisplayIdentifier>25902-09-23</CaseDisplayIdentifier>
        <CaseTypeID>10074</CaseTypeID>
        <CaseTypeName>רשות ערעור משפחה (רמ"ש)</CaseTypeName>
        <CaseName>דיקוי נ' דיקוי</CaseName>
        <FullAddress>שד' בן גוריון 63 קריית ביאליק </FullAddress>
        <MotionID>0</MotionID>
        <CasePleaID>0</CasePleaID>
        <FatherName>ויקטור</FatherName>
        <LinkedCaseID>0</LinkedCaseID>
        <PartyID>1</PartyID>
        <CasePartyCategoryID>2</CasePartyCategoryID>
        <LegalEntityAddressID>88397420</LegalEntityAddressID>
        <PleaTypeID>5</PleaTypeID>
        <GroupPartyAlias>מבקשים</GroupPartyAlias>
        <IsConverted>false</IsConverted>
        <LegalEntityRegisteredNameID>10381801</LegalEntityRegisteredNameID>
        <LegalEntityNameID>95454785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נטליה דיקוי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נועם אפשטיין</FullName>
        <FirstName>נועם</FirstName>
        <LastName>אפשטיין</LastName>
        <PartyPropertyName/>
        <AuthenticationTypeAndNumber>מ.ר. 18320</AuthenticationTypeAndNumber>
        <RepresentatedOrRepresentativesNames>נטליה דיקוי</RepresentatedOrRepresentativesNames>
        <RepresentatedOrRepresentativesCount>1</RepresentatedOrRepresentativesCount>
        <InvitedBy/>
        <CaseID>80595328</CaseID>
        <CaseJudicialPersonPresentationDS>
          <CaseJudicalPersonActive>
            <CaseID>80595328</CaseID>
            <JudicialPersonID>058677980@GOV.IL</JudicialPersonID>
            <JudicialPersonTypeID>1</JudicialPersonTypeID>
            <JudicialTypeID>1</JudicialTypeID>
            <IsChairman>false</IsChairman>
            <TreatmentStartDate>2023-09-13T08:31:53.823+03:00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260455164</CasePartyID>
        <PartyTypeID>2</PartyTypeID>
        <ActivityStatusID>1</ActivityStatusID>
        <PartyAliasID>22</PartyAliasID>
        <PartyAliasName>בא כוח מבקשים</PartyAliasName>
        <OrdinalNumber>1</OrdinalNumber>
        <LegalEntityID>381166</LegalEntityID>
        <CaseLegalEntityID>125906350</CaseLegalEntityID>
        <AuthenticationTypeID>4</AuthenticationTypeID>
        <AuthenticationTypeName>מ.ר.</AuthenticationTypeName>
        <LegalEntityNumber>18320</LegalEntityNumber>
        <IsMainPartyType>true</IsMainPartyType>
        <CaseDisplayIdentifier>25902-09-23</CaseDisplayIdentifier>
        <CaseTypeID>10074</CaseTypeID>
        <CaseTypeName>רשות ערעור משפחה (רמ"ש)</CaseTypeName>
        <CaseName>דיקוי נ' דיקוי</CaseName>
        <FullAddress>שד' בן גוריון 63 קריית ביאליק ת.ד. 5552</FullAddress>
        <EmailAddress>noam27867@gmail.com</EmailAddress>
        <MotionID>0</MotionID>
        <CasePleaID>0</CasePleaID>
        <LinkedCaseID>0</LinkedCaseID>
        <PartyID>1</PartyID>
        <CasePartyCategoryID>2</CasePartyCategoryID>
        <LegalEntityAddressID>71014285</LegalEntityAddressID>
        <LegalEntityEmailAddressID>68016102</LegalEntityEmailAddressID>
        <PleaTypeID>5</PleaTypeID>
        <LawyerOfficeName>משרד עו"ד: נועם אפשטיין</LawyerOfficeName>
        <LawyerOfficeID>421810</LawyerOfficeID>
        <GroupPartyAlias/>
        <IsConverted>false</IsConverted>
        <LegalEntityNameID>2150</LegalEntityNameID>
        <RepresentatedNamesOfAssistant/>
        <LegalEntityTypeID>4</LegalEntityTypeID>
        <IsVerdictExists>false</IsVerdictExists>
        <IsAsirAzir>false</IsAsirAzir>
        <IsPublicationProhibited>false</IsPublicationProhibited>
        <PublicationProhibitedFullName>נועם אפשטיין</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מריה דיקוי</FullName>
        <FirstName>מריה</FirstName>
        <LastName>דיקוי</LastName>
        <PartyPropertyName/>
        <AuthenticationTypeAndNumber>ת"ז 320781628</AuthenticationTypeAndNumber>
        <RepresentatedOrRepresentativesNames>אלכס וייג</RepresentatedOrRepresentativesNames>
        <RepresentatedOrRepresentativesCount>1</RepresentatedOrRepresentativesCount>
        <InvitedBy/>
        <CaseID>80595328</CaseID>
        <CaseJudicialPersonPresentationDS>
          <CaseJudicalPersonActive>
            <CaseID>80595328</CaseID>
            <JudicialPersonID>058677980@GOV.IL</JudicialPersonID>
            <JudicialPersonTypeID>1</JudicialPersonTypeID>
            <JudicialTypeID>1</JudicialTypeID>
            <IsChairman>false</IsChairman>
            <TreatmentStartDate>2023-09-13T08:31:53.823+03:00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260455163</CasePartyID>
        <PartyTypeID>1</PartyTypeID>
        <ActivityStatusID>1</ActivityStatusID>
        <PartyAliasID>4</PartyAliasID>
        <PartyAliasName>משיב</PartyAliasName>
        <OrdinalNumber>1</OrdinalNumber>
        <LegalEntityID>81077767</LegalEntityID>
        <CaseLegalEntityID>125906349</CaseLegalEntityID>
        <AuthenticationTypeID>1</AuthenticationTypeID>
        <AuthenticationTypeName>ת"ז</AuthenticationTypeName>
        <LegalEntityNumber>320781628</LegalEntityNumber>
        <IsMainPartyType>true</IsMainPartyType>
        <CaseDisplayIdentifier>25902-09-23</CaseDisplayIdentifier>
        <CaseTypeID>10074</CaseTypeID>
        <CaseTypeName>רשות ערעור משפחה (רמ"ש)</CaseTypeName>
        <CaseName>דיקוי נ' דיקוי</CaseName>
        <FullAddress>התשבי 22/6 חיפה </FullAddress>
        <MotionID>0</MotionID>
        <CasePleaID>0</CasePleaID>
        <FatherName>בוריס</FatherName>
        <LinkedCaseID>0</LinkedCaseID>
        <PartyID>2</PartyID>
        <CasePartyCategoryID>2</CasePartyCategoryID>
        <LegalEntityAddressID>87642999</LegalEntityAddressID>
        <PleaTypeID>5</PleaTypeID>
        <GroupPartyAlias>משיבים</GroupPartyAlias>
        <IsConverted>false</IsConverted>
        <LegalEntityRegisteredNameID>10260855</LegalEntityRegisteredNameID>
        <LegalEntityNameID>95454808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מריה דיקוי</PublicationProhibitedFullName>
      </CaseParties>
    </CasePartiesSelectionDS>
    <CaseName>דיקוי נ' דיקוי</CaseName>
    <CaseDisplayIdentifier>25902-09-23</CaseDisplayIdentifier>
    <CaseInterestID>101</CaseInterestID>
    <CaseTypeShortName>רמ"ש</CaseTypeShortName>
  </dt_DecisionCase>
  <dt_DecisionJudgePanel>
    <JudgeID>058677980@GOV.IL</JudgeID>
    <DisplayName>אריה נאמן</DisplayName>
    <RoleName>שופט</RoleName>
    <UserTitleName>שופט</UserTitleName>
  </dt_DecisionJudgePanel>
  <dt_LegalEntityDetails>
    <Fax>04-8393326</Fax>
    <Phone>04-9881550</Phone>
    <AddressDesc>ת.ד 3377 </AddressDesc>
    <PartyID>2</PartyID>
    <PartyTypeID>2</PartyTypeID>
    <DecisionID>0</DecisionID>
    <StreetName>קביש לוז 11</StreetName>
    <ZipCode>2613302</ZipCode>
    <CityName>קריית מוצקין</CityName>
    <FullName>אלכס וייג</FullName>
    <Email>alweig7@gmail.com</Email>
    <IsPublicationProhibited>false</IsPublicationProhibited>
  </dt_LegalEntityDetails>
  <dt_LegalEntityDetails>
    <PartyID>1</PartyID>
    <PartyTypeID>1</PartyTypeID>
    <DecisionID>0</DecisionID>
    <StreetName>שד' בן גוריון 63</StreetName>
    <CityName>קריית ביאליק</CityName>
    <FullName>נטליה דיקוי</FullName>
    <IsPublicationProhibited>false</IsPublicationProhibited>
  </dt_LegalEntityDetails>
  <dt_LegalEntityDetails>
    <PartyID>2</PartyID>
    <PartyTypeID>1</PartyTypeID>
    <DecisionID>0</DecisionID>
    <StreetName>התשבי 22/6</StreetName>
    <CityName>חיפה</CityName>
    <FullName>מריה דיקוי</FullName>
    <IsPublicationProhibited>false</IsPublicationProhibited>
  </dt_LegalEntityDetails>
  <dt_LegalEntityDetails>
    <Fax>077-5020063</Fax>
    <Phone>04-8733144</Phone>
    <AddressDesc>ת.ד. 5552</AddressDesc>
    <PartyID>1</PartyID>
    <PartyTypeID>2</PartyTypeID>
    <DecisionID>0</DecisionID>
    <StreetName>שד' בן גוריון 63</StreetName>
    <ZipCode>27154</ZipCode>
    <CityName>קריית ביאליק</CityName>
    <FullName>נועם אפשטיין</FullName>
    <Email>noam27867@gmail.com</Email>
    <IsPublicationProhibited>false</IsPublicationProhibited>
  </dt_LegalEntityDetails>
  <dt_CaseJudicalPersonActive>
    <CaseJudicalPerson>שופט אריה נאמן</CaseJudicalPerson>
  </dt_CaseJudicalPersonActive>
  <dt_Sitting/>
</DecisionTemplateD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439D5-DF37-49A2-9CAE-97FBAC60E0BD}"/>
</file>

<file path=customXml/itemProps2.xml><?xml version="1.0" encoding="utf-8"?>
<ds:datastoreItem xmlns:ds="http://schemas.openxmlformats.org/officeDocument/2006/customXml" ds:itemID="{284D0A77-C439-48EF-A837-A1CB115B21F1}"/>
</file>

<file path=customXml/itemProps3.xml><?xml version="1.0" encoding="utf-8"?>
<ds:datastoreItem xmlns:ds="http://schemas.openxmlformats.org/officeDocument/2006/customXml" ds:itemID="{74C64F28-F111-4D55-81BD-930A9C3A54F2}"/>
</file>

<file path=customXml/itemProps4.xml><?xml version="1.0" encoding="utf-8"?>
<ds:datastoreItem xmlns:ds="http://schemas.openxmlformats.org/officeDocument/2006/customXml" ds:itemID="{6A0FE67B-ADF6-4067-AB49-36BDB281CE23}">
  <ds:schemaRefs/>
</ds:datastoreItem>
</file>

<file path=customXml/itemProps5.xml><?xml version="1.0" encoding="utf-8"?>
<ds:datastoreItem xmlns:ds="http://schemas.openxmlformats.org/officeDocument/2006/customXml" ds:itemID="{7F9A3419-D114-4525-B086-1D7F362EF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1778</Words>
  <Characters>8895</Characters>
  <Application>Microsoft Office Word</Application>
  <DocSecurity>4</DocSecurity>
  <Lines>74</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2023-09-18T11:49:00Z</dcterms:created>
  <dcterms:modified xsi:type="dcterms:W3CDTF">2023-09-18T11:49:00Z</dcterms:modified>
</cp:coreProperties>
</file>